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60D1" w14:textId="77777777" w:rsidR="00842129" w:rsidRPr="009D54DA" w:rsidRDefault="00842129" w:rsidP="00D355A1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9D54DA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007CED59" w14:textId="5A1F54FA" w:rsidR="00842129" w:rsidRPr="009D54DA" w:rsidRDefault="00842129" w:rsidP="00D355A1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D54DA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</w:t>
      </w:r>
    </w:p>
    <w:p w14:paraId="377E06C1" w14:textId="77777777" w:rsidR="008670EB" w:rsidRDefault="008670EB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546F92" w14:textId="575D75D3" w:rsidR="00842129" w:rsidRPr="009D54DA" w:rsidRDefault="00842129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54DA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37CD7370" w14:textId="30C4AC3B" w:rsidR="009D54DA" w:rsidRPr="008B6574" w:rsidRDefault="009D54DA" w:rsidP="008B6574">
      <w:pPr>
        <w:pStyle w:val="Akapitzlist"/>
        <w:spacing w:after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D54DA">
        <w:rPr>
          <w:rFonts w:ascii="Times New Roman" w:hAnsi="Times New Roman" w:cs="Times New Roman"/>
          <w:b/>
          <w:bCs/>
          <w:sz w:val="22"/>
          <w:szCs w:val="22"/>
        </w:rPr>
        <w:t>ZAPYTANIE OFERTOWE nr</w:t>
      </w:r>
      <w:r w:rsidR="008B6574" w:rsidRPr="008B6574">
        <w:rPr>
          <w:rFonts w:ascii="Times New Roman" w:hAnsi="Times New Roman" w:cs="Times New Roman"/>
          <w:b/>
          <w:bCs/>
          <w:sz w:val="22"/>
          <w:szCs w:val="22"/>
        </w:rPr>
        <w:t xml:space="preserve"> 26/ </w:t>
      </w:r>
      <w:bookmarkStart w:id="0" w:name="_Hlk183524409"/>
      <w:r w:rsidR="008B6574" w:rsidRPr="008B6574">
        <w:rPr>
          <w:rFonts w:ascii="Times New Roman" w:hAnsi="Times New Roman" w:cs="Times New Roman"/>
          <w:b/>
          <w:bCs/>
          <w:sz w:val="22"/>
          <w:szCs w:val="22"/>
        </w:rPr>
        <w:t>System do zarządzania informacjami i zdarzeniami bezpieczeństwa typu SIEM (Security</w:t>
      </w:r>
      <w:r w:rsidR="008B657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B6574" w:rsidRPr="008B6574">
        <w:rPr>
          <w:rFonts w:ascii="Times New Roman" w:hAnsi="Times New Roman" w:cs="Times New Roman"/>
          <w:b/>
          <w:bCs/>
          <w:sz w:val="22"/>
          <w:szCs w:val="22"/>
        </w:rPr>
        <w:t>Information and Event Management</w:t>
      </w:r>
      <w:bookmarkEnd w:id="0"/>
      <w:r w:rsidR="008B6574" w:rsidRPr="008B6574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14:paraId="641F9EB3" w14:textId="6ECC0598" w:rsidR="00842129" w:rsidRPr="0065350D" w:rsidRDefault="00842129" w:rsidP="002D5CA1">
      <w:pPr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 w:rsidRPr="0065350D">
        <w:rPr>
          <w:rFonts w:ascii="Times New Roman" w:hAnsi="Times New Roman" w:cs="Times New Roman"/>
          <w:sz w:val="22"/>
          <w:szCs w:val="22"/>
        </w:rPr>
        <w:t xml:space="preserve">Nazwa </w:t>
      </w:r>
      <w:r w:rsidR="00EB4398" w:rsidRPr="0065350D">
        <w:rPr>
          <w:rFonts w:ascii="Times New Roman" w:hAnsi="Times New Roman" w:cs="Times New Roman"/>
          <w:sz w:val="22"/>
          <w:szCs w:val="22"/>
        </w:rPr>
        <w:t>Wykonawcy</w:t>
      </w:r>
      <w:r w:rsidRPr="0065350D">
        <w:rPr>
          <w:rFonts w:ascii="Times New Roman" w:hAnsi="Times New Roman" w:cs="Times New Roman"/>
          <w:sz w:val="22"/>
          <w:szCs w:val="22"/>
        </w:rPr>
        <w:t>:</w:t>
      </w:r>
      <w:r w:rsidRPr="0065350D">
        <w:rPr>
          <w:rFonts w:ascii="Times New Roman" w:hAnsi="Times New Roman" w:cs="Times New Roman"/>
          <w:sz w:val="22"/>
          <w:szCs w:val="22"/>
        </w:rPr>
        <w:tab/>
      </w:r>
      <w:r w:rsidR="00297242" w:rsidRPr="0065350D">
        <w:rPr>
          <w:rFonts w:ascii="Times New Roman" w:hAnsi="Times New Roman" w:cs="Times New Roman"/>
          <w:sz w:val="22"/>
          <w:szCs w:val="22"/>
        </w:rPr>
        <w:t xml:space="preserve">  </w:t>
      </w:r>
      <w:r w:rsidRPr="0065350D">
        <w:rPr>
          <w:rFonts w:ascii="Times New Roman" w:hAnsi="Times New Roman" w:cs="Times New Roman"/>
          <w:sz w:val="22"/>
          <w:szCs w:val="22"/>
        </w:rPr>
        <w:tab/>
      </w:r>
      <w:r w:rsidR="00297242" w:rsidRPr="0065350D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65350D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65350D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65350D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65350D">
        <w:rPr>
          <w:rFonts w:ascii="Times New Roman" w:hAnsi="Times New Roman" w:cs="Times New Roman"/>
          <w:sz w:val="22"/>
          <w:szCs w:val="22"/>
        </w:rPr>
        <w:t xml:space="preserve"> </w:t>
      </w:r>
      <w:r w:rsidRPr="0065350D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5350D">
        <w:rPr>
          <w:rFonts w:ascii="Times New Roman" w:hAnsi="Times New Roman" w:cs="Times New Roman"/>
          <w:sz w:val="22"/>
          <w:szCs w:val="22"/>
        </w:rPr>
        <w:t xml:space="preserve"> </w:t>
      </w:r>
      <w:r w:rsidRPr="0065350D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  <w:r w:rsidRPr="0065350D">
        <w:rPr>
          <w:rFonts w:ascii="Times New Roman" w:hAnsi="Times New Roman" w:cs="Times New Roman"/>
          <w:sz w:val="22"/>
          <w:szCs w:val="22"/>
        </w:rPr>
        <w:tab/>
      </w:r>
    </w:p>
    <w:p w14:paraId="2C181929" w14:textId="6B2C01BF" w:rsidR="00842129" w:rsidRPr="009D54DA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9D54DA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9D54DA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38A1575" w14:textId="3932C13D" w:rsidR="00842129" w:rsidRPr="009D54DA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9D54DA">
        <w:rPr>
          <w:rFonts w:ascii="Times New Roman" w:hAnsi="Times New Roman" w:cs="Times New Roman"/>
          <w:sz w:val="22"/>
          <w:szCs w:val="22"/>
          <w:lang w:val="de-DE"/>
        </w:rPr>
        <w:t>NIP: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36601FE" w14:textId="3454EDC7" w:rsidR="00842129" w:rsidRPr="009D54DA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9D54DA">
        <w:rPr>
          <w:rFonts w:ascii="Times New Roman" w:hAnsi="Times New Roman" w:cs="Times New Roman"/>
          <w:sz w:val="22"/>
          <w:szCs w:val="22"/>
          <w:lang w:val="de-DE"/>
        </w:rPr>
        <w:t>Nr</w:t>
      </w:r>
      <w:proofErr w:type="spellEnd"/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9D54DA">
        <w:rPr>
          <w:rFonts w:ascii="Times New Roman" w:hAnsi="Times New Roman" w:cs="Times New Roman"/>
          <w:sz w:val="22"/>
          <w:szCs w:val="22"/>
          <w:lang w:val="de-DE"/>
        </w:rPr>
        <w:t>telefonu</w:t>
      </w:r>
      <w:proofErr w:type="spellEnd"/>
      <w:r w:rsidRPr="009D54DA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B675AF9" w14:textId="724DF8F6" w:rsidR="00842129" w:rsidRPr="009D54DA" w:rsidRDefault="00842129" w:rsidP="002D5CA1">
      <w:pPr>
        <w:jc w:val="both"/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9D54DA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9D54DA">
        <w:rPr>
          <w:rFonts w:ascii="Times New Roman" w:hAnsi="Times New Roman" w:cs="Times New Roman"/>
          <w:sz w:val="22"/>
          <w:szCs w:val="22"/>
          <w:lang w:val="de-DE"/>
        </w:rPr>
        <w:t>e-mail</w:t>
      </w:r>
      <w:proofErr w:type="spellEnd"/>
      <w:r w:rsidRPr="009D54DA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719B2F0" w14:textId="07B330BE" w:rsidR="00842129" w:rsidRPr="009D54DA" w:rsidRDefault="00842129" w:rsidP="002D5CA1">
      <w:pPr>
        <w:jc w:val="both"/>
        <w:rPr>
          <w:rFonts w:ascii="Times New Roman" w:hAnsi="Times New Roman" w:cs="Times New Roman"/>
          <w:sz w:val="22"/>
          <w:szCs w:val="22"/>
        </w:rPr>
      </w:pPr>
      <w:r w:rsidRPr="009D54DA">
        <w:rPr>
          <w:rFonts w:ascii="Times New Roman" w:hAnsi="Times New Roman" w:cs="Times New Roman"/>
          <w:sz w:val="22"/>
          <w:szCs w:val="22"/>
        </w:rPr>
        <w:t>Dane osoby do kontaktu: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FF268AB" w14:textId="77777777" w:rsidR="00842129" w:rsidRPr="009D54DA" w:rsidRDefault="00842129" w:rsidP="00D355A1">
      <w:pPr>
        <w:pStyle w:val="Akapitzlist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5766F23E" w14:textId="0FEEA1E5" w:rsidR="00767DCD" w:rsidRPr="009D54DA" w:rsidRDefault="00842129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9D54DA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34623D" w:rsidRPr="009D54DA">
        <w:rPr>
          <w:rFonts w:ascii="Times New Roman" w:hAnsi="Times New Roman" w:cs="Times New Roman"/>
          <w:sz w:val="22"/>
          <w:szCs w:val="22"/>
        </w:rPr>
        <w:t xml:space="preserve">zapytanie ofertowe pn. </w:t>
      </w:r>
      <w:r w:rsidR="009D54DA" w:rsidRPr="009D54DA">
        <w:rPr>
          <w:rFonts w:ascii="Times New Roman" w:hAnsi="Times New Roman" w:cs="Times New Roman"/>
          <w:i/>
          <w:iCs/>
          <w:sz w:val="22"/>
          <w:szCs w:val="22"/>
        </w:rPr>
        <w:t xml:space="preserve">ZAPYTANIE OFERTOWE </w:t>
      </w:r>
      <w:r w:rsidR="00741B13" w:rsidRPr="00741B13">
        <w:rPr>
          <w:rFonts w:ascii="Times New Roman" w:hAnsi="Times New Roman" w:cs="Times New Roman"/>
          <w:i/>
          <w:iCs/>
          <w:sz w:val="22"/>
          <w:szCs w:val="22"/>
        </w:rPr>
        <w:t>nr 26/ System do zarządzania informacjami i zdarzeniami bezpieczeństwa typu SIEM (Security Information and Event Management)</w:t>
      </w:r>
      <w:r w:rsidR="00741B1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767DCD" w:rsidRPr="009D54DA">
        <w:rPr>
          <w:rFonts w:ascii="Times New Roman" w:hAnsi="Times New Roman" w:cs="Times New Roman"/>
          <w:sz w:val="22"/>
          <w:szCs w:val="22"/>
        </w:rPr>
        <w:t>oferuj</w:t>
      </w:r>
      <w:r w:rsidRPr="009D54DA">
        <w:rPr>
          <w:rFonts w:ascii="Times New Roman" w:hAnsi="Times New Roman" w:cs="Times New Roman"/>
          <w:sz w:val="22"/>
          <w:szCs w:val="22"/>
        </w:rPr>
        <w:t>ę</w:t>
      </w:r>
      <w:r w:rsidR="00767DCD" w:rsidRPr="009D54DA">
        <w:rPr>
          <w:rFonts w:ascii="Times New Roman" w:hAnsi="Times New Roman" w:cs="Times New Roman"/>
          <w:sz w:val="22"/>
          <w:szCs w:val="22"/>
        </w:rPr>
        <w:t xml:space="preserve"> wykonanie przedmiotu zamówienia, zgodnie z wymogami i zakresem określonym w</w:t>
      </w:r>
      <w:r w:rsidRPr="009D54DA">
        <w:rPr>
          <w:rFonts w:ascii="Times New Roman" w:hAnsi="Times New Roman" w:cs="Times New Roman"/>
          <w:sz w:val="22"/>
          <w:szCs w:val="22"/>
        </w:rPr>
        <w:t> </w:t>
      </w:r>
      <w:r w:rsidR="00767DCD" w:rsidRPr="009D54DA">
        <w:rPr>
          <w:rFonts w:ascii="Times New Roman" w:hAnsi="Times New Roman" w:cs="Times New Roman"/>
          <w:sz w:val="22"/>
          <w:szCs w:val="22"/>
        </w:rPr>
        <w:t>zapytaniu ofertowym, za:</w:t>
      </w:r>
    </w:p>
    <w:p w14:paraId="6415D519" w14:textId="77777777" w:rsidR="00094347" w:rsidRPr="009D54DA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1701"/>
        <w:gridCol w:w="1984"/>
        <w:gridCol w:w="1985"/>
        <w:gridCol w:w="1984"/>
      </w:tblGrid>
      <w:tr w:rsidR="009D54DA" w:rsidRPr="009D54DA" w14:paraId="7B3E1E6F" w14:textId="77777777" w:rsidTr="00F83ECB">
        <w:trPr>
          <w:trHeight w:val="7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A45D2EF" w14:textId="77777777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3B9CA2F" w14:textId="77777777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Waluta oferty</w:t>
            </w:r>
          </w:p>
          <w:p w14:paraId="098E18C3" w14:textId="77777777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(PLN / EUR)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B58A059" w14:textId="7243741C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Ogółem wartość </w:t>
            </w:r>
            <w:r w:rsidR="00DB72E7"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NETTO </w:t>
            </w: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we wskazanej walucie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20C2FF5" w14:textId="77777777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Wartość podatku VAT we wskazanej walucie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8987145" w14:textId="0A2D378F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Ogółem wartość </w:t>
            </w:r>
            <w:r w:rsidR="00DB72E7"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BRUTTO</w:t>
            </w: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we wskazanej walucie</w:t>
            </w:r>
          </w:p>
        </w:tc>
      </w:tr>
      <w:tr w:rsidR="00DB72E7" w:rsidRPr="00DB72E7" w14:paraId="3BF366AD" w14:textId="77777777" w:rsidTr="008670EB">
        <w:trPr>
          <w:trHeight w:val="76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9228C47" w14:textId="33820EA8" w:rsidR="00E067AF" w:rsidRPr="005F3170" w:rsidRDefault="00741B13" w:rsidP="005969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1B13">
              <w:rPr>
                <w:rFonts w:ascii="Times New Roman" w:hAnsi="Times New Roman" w:cs="Times New Roman"/>
                <w:sz w:val="21"/>
                <w:szCs w:val="21"/>
              </w:rPr>
              <w:t>System do zarządzania informacjami i zdarzeniami bezpieczeństwa typu SIEM (Security Information and Event Management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01" w:type="dxa"/>
          </w:tcPr>
          <w:p w14:paraId="5D6C2E52" w14:textId="77777777" w:rsidR="00094347" w:rsidRPr="006E0D5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39F847" w14:textId="77777777" w:rsidR="00094347" w:rsidRPr="006E0D5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F67244" w14:textId="77777777" w:rsidR="00094347" w:rsidRPr="006E0D5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8A7690" w14:textId="77777777" w:rsidR="00094347" w:rsidRPr="006E0D5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3D9F106C" w14:textId="77777777" w:rsidR="00094347" w:rsidRPr="00DB72E7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color w:val="C00000"/>
          <w:sz w:val="22"/>
          <w:szCs w:val="22"/>
        </w:rPr>
      </w:pPr>
    </w:p>
    <w:p w14:paraId="7E11F315" w14:textId="77777777" w:rsidR="00767DCD" w:rsidRPr="008670EB" w:rsidRDefault="00767DCD" w:rsidP="00767DC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670EB">
        <w:rPr>
          <w:rFonts w:ascii="Times New Roman" w:hAnsi="Times New Roman" w:cs="Times New Roman"/>
          <w:b/>
          <w:bCs/>
          <w:sz w:val="22"/>
          <w:szCs w:val="22"/>
        </w:rPr>
        <w:t xml:space="preserve">Całkowita wartość zamówienia brutto słownie:  </w:t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instrText xml:space="preserve"> FORMTEXT </w:instrText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fldChar w:fldCharType="separate"/>
      </w:r>
      <w:r w:rsidRPr="008670EB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                                                   </w:t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fldChar w:fldCharType="end"/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1A7602C" w14:textId="77777777" w:rsidR="00767DCD" w:rsidRPr="008670EB" w:rsidRDefault="00767DCD" w:rsidP="00767DC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D212F0E" w14:textId="122CAA57" w:rsidR="00767DCD" w:rsidRPr="008670EB" w:rsidRDefault="00767DCD" w:rsidP="00C6195B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670EB">
        <w:rPr>
          <w:rFonts w:ascii="Times New Roman" w:hAnsi="Times New Roman" w:cs="Times New Roman"/>
          <w:b/>
          <w:bCs/>
          <w:sz w:val="22"/>
          <w:szCs w:val="22"/>
        </w:rPr>
        <w:t>Ceny wskazane w tabeli uwzględniają wszystkie koszty związane z wykonaniem przedmiotu zamówienia i</w:t>
      </w:r>
      <w:r w:rsidR="00842129" w:rsidRPr="008670EB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t>są cenami stałymi w okresie obowiązywania umowy.</w:t>
      </w:r>
    </w:p>
    <w:p w14:paraId="456668BB" w14:textId="7BB4B056" w:rsidR="0068121D" w:rsidRPr="008670EB" w:rsidRDefault="00D90962" w:rsidP="0068121D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 xml:space="preserve">Cały przedmiot zamówienia </w:t>
      </w:r>
      <w:r w:rsidR="00767DCD" w:rsidRPr="008670EB">
        <w:rPr>
          <w:rFonts w:ascii="Times New Roman" w:hAnsi="Times New Roman" w:cs="Times New Roman"/>
          <w:sz w:val="22"/>
          <w:szCs w:val="22"/>
        </w:rPr>
        <w:t>będ</w:t>
      </w:r>
      <w:r w:rsidRPr="008670EB">
        <w:rPr>
          <w:rFonts w:ascii="Times New Roman" w:hAnsi="Times New Roman" w:cs="Times New Roman"/>
          <w:sz w:val="22"/>
          <w:szCs w:val="22"/>
        </w:rPr>
        <w:t>zie</w:t>
      </w:r>
      <w:r w:rsidR="00767DCD" w:rsidRPr="008670EB">
        <w:rPr>
          <w:rFonts w:ascii="Times New Roman" w:hAnsi="Times New Roman" w:cs="Times New Roman"/>
          <w:sz w:val="22"/>
          <w:szCs w:val="22"/>
        </w:rPr>
        <w:t xml:space="preserve"> </w:t>
      </w:r>
      <w:r w:rsidRPr="008670EB">
        <w:rPr>
          <w:rFonts w:ascii="Times New Roman" w:hAnsi="Times New Roman" w:cs="Times New Roman"/>
          <w:sz w:val="22"/>
          <w:szCs w:val="22"/>
        </w:rPr>
        <w:t xml:space="preserve">posiadał aktualne atesty i certyfikaty bezpieczeństwa poświadczające zgodność z normami obowiązującymi w Unii Europejskiej oraz </w:t>
      </w:r>
      <w:r w:rsidR="00E127BB" w:rsidRPr="008670EB">
        <w:rPr>
          <w:rFonts w:ascii="Times New Roman" w:hAnsi="Times New Roman" w:cs="Times New Roman"/>
          <w:sz w:val="22"/>
          <w:szCs w:val="22"/>
        </w:rPr>
        <w:t>zgodności i certyfikaty określone w</w:t>
      </w:r>
      <w:r w:rsidR="009E31AC" w:rsidRPr="008670EB">
        <w:rPr>
          <w:rFonts w:ascii="Times New Roman" w:hAnsi="Times New Roman" w:cs="Times New Roman"/>
          <w:sz w:val="22"/>
          <w:szCs w:val="22"/>
        </w:rPr>
        <w:t> </w:t>
      </w:r>
      <w:r w:rsidR="00E127BB" w:rsidRPr="008670EB">
        <w:rPr>
          <w:rFonts w:ascii="Times New Roman" w:hAnsi="Times New Roman" w:cs="Times New Roman"/>
          <w:sz w:val="22"/>
          <w:szCs w:val="22"/>
        </w:rPr>
        <w:t>zapytaniu ofertowym.</w:t>
      </w:r>
    </w:p>
    <w:p w14:paraId="045C64C3" w14:textId="77777777" w:rsidR="00767DCD" w:rsidRPr="008670EB" w:rsidRDefault="00767DCD" w:rsidP="00C6195B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>Zobowiązujemy się do wykonania przedmiotu zamówienia z zastosowaniem następujących urządzeń i materiałów:</w:t>
      </w:r>
    </w:p>
    <w:p w14:paraId="1AC07800" w14:textId="1B1D6DD0" w:rsidR="005E50AB" w:rsidRPr="008670EB" w:rsidRDefault="005E50AB" w:rsidP="00B64C81">
      <w:pPr>
        <w:spacing w:after="120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>(</w:t>
      </w:r>
      <w:r w:rsidRPr="008670EB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W każdym wierszu tabeli należy podać informację czy/jak oferowany sprzęt spełnia wymagania Zamawiającego. </w:t>
      </w:r>
      <w:r w:rsidR="00F5290A" w:rsidRPr="008670EB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Dopuszcza się wypełnienie wierszy w formule TAK/NIE. </w:t>
      </w:r>
      <w:r w:rsidRPr="008670EB">
        <w:rPr>
          <w:rFonts w:ascii="Times New Roman" w:hAnsi="Times New Roman" w:cs="Times New Roman"/>
          <w:b/>
          <w:i/>
          <w:iCs/>
          <w:sz w:val="22"/>
          <w:szCs w:val="22"/>
        </w:rPr>
        <w:t>W</w:t>
      </w:r>
      <w:r w:rsidR="00C904FB" w:rsidRPr="008670EB">
        <w:rPr>
          <w:rFonts w:ascii="Times New Roman" w:hAnsi="Times New Roman" w:cs="Times New Roman"/>
          <w:b/>
          <w:i/>
          <w:iCs/>
          <w:sz w:val="22"/>
          <w:szCs w:val="22"/>
        </w:rPr>
        <w:t> </w:t>
      </w:r>
      <w:r w:rsidRPr="008670EB">
        <w:rPr>
          <w:rFonts w:ascii="Times New Roman" w:hAnsi="Times New Roman" w:cs="Times New Roman"/>
          <w:b/>
          <w:i/>
          <w:iCs/>
          <w:sz w:val="22"/>
          <w:szCs w:val="22"/>
        </w:rPr>
        <w:t>przypadku braku zamieszczenia informacji (braku wypełnienia) w którymkolwiek z obowiązkowych pól, oferta zostanie odrzucona.</w:t>
      </w:r>
      <w:r w:rsidR="00F43805" w:rsidRPr="008670EB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Wykonawca tam gdzie jest to możliwe wskazuje również „Typ/model oferowanego urządzenia” oraz „Producenta”)</w:t>
      </w:r>
      <w:r w:rsidR="001776BA" w:rsidRPr="008670EB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. </w:t>
      </w: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3119"/>
      </w:tblGrid>
      <w:tr w:rsidR="001D52CC" w:rsidRPr="008670EB" w14:paraId="13C7228A" w14:textId="36DB03C8" w:rsidTr="001B32EA">
        <w:trPr>
          <w:trHeight w:val="735"/>
        </w:trPr>
        <w:tc>
          <w:tcPr>
            <w:tcW w:w="567" w:type="dxa"/>
            <w:shd w:val="clear" w:color="auto" w:fill="D5DCE4" w:themeFill="text2" w:themeFillTint="33"/>
          </w:tcPr>
          <w:p w14:paraId="7D72AC56" w14:textId="606511FD" w:rsidR="00B00653" w:rsidRPr="008670EB" w:rsidRDefault="00B00653" w:rsidP="008670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1" w:name="_Hlk183438318"/>
            <w:proofErr w:type="spellStart"/>
            <w:r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379" w:type="dxa"/>
            <w:shd w:val="clear" w:color="auto" w:fill="D5DCE4" w:themeFill="text2" w:themeFillTint="33"/>
            <w:vAlign w:val="center"/>
          </w:tcPr>
          <w:p w14:paraId="44372D06" w14:textId="7FF6F16F" w:rsidR="00B00653" w:rsidRPr="008670EB" w:rsidRDefault="008D0682" w:rsidP="008670EB">
            <w:pPr>
              <w:spacing w:line="276" w:lineRule="auto"/>
              <w:rPr>
                <w:rFonts w:ascii="Times New Roman" w:eastAsia="Arial Narrow" w:hAnsi="Times New Roman" w:cs="Times New Roman"/>
                <w:b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P</w:t>
            </w:r>
            <w:r w:rsidR="00B00653"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arametry techniczne </w:t>
            </w:r>
            <w:r w:rsidR="00386EB2"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przedmiotu zamówienia</w:t>
            </w:r>
          </w:p>
        </w:tc>
        <w:tc>
          <w:tcPr>
            <w:tcW w:w="3119" w:type="dxa"/>
            <w:shd w:val="clear" w:color="auto" w:fill="D5DCE4" w:themeFill="text2" w:themeFillTint="33"/>
            <w:vAlign w:val="center"/>
          </w:tcPr>
          <w:p w14:paraId="0A0B8ABA" w14:textId="77D5B784" w:rsidR="00B00653" w:rsidRPr="008670EB" w:rsidRDefault="00B00653" w:rsidP="008670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Potwierdzenie spełnienia /</w:t>
            </w:r>
          </w:p>
          <w:p w14:paraId="0B2CE8D3" w14:textId="565806D9" w:rsidR="00B00653" w:rsidRPr="008670EB" w:rsidRDefault="00B00653" w:rsidP="008670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</w:t>
            </w:r>
            <w:r w:rsidRPr="008670EB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2"/>
            </w:r>
          </w:p>
        </w:tc>
      </w:tr>
      <w:tr w:rsidR="00A73D0F" w:rsidRPr="0065350D" w14:paraId="64DE25DD" w14:textId="77777777" w:rsidTr="001B32EA">
        <w:trPr>
          <w:trHeight w:val="571"/>
        </w:trPr>
        <w:tc>
          <w:tcPr>
            <w:tcW w:w="567" w:type="dxa"/>
            <w:shd w:val="clear" w:color="auto" w:fill="auto"/>
          </w:tcPr>
          <w:p w14:paraId="1FCB3847" w14:textId="4B0E1502" w:rsidR="00A73D0F" w:rsidRPr="0065350D" w:rsidRDefault="00A73D0F" w:rsidP="008670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50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379" w:type="dxa"/>
            <w:shd w:val="clear" w:color="auto" w:fill="D5DCE4" w:themeFill="text2" w:themeFillTint="33"/>
            <w:vAlign w:val="center"/>
          </w:tcPr>
          <w:p w14:paraId="327C438E" w14:textId="7060465A" w:rsidR="00A73D0F" w:rsidRPr="0065350D" w:rsidRDefault="00741B13" w:rsidP="00CE78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3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 do zarządzania informacjami i zdarzeniami bezpieczeństwa typu SIEM (Security Information and Event Management)</w:t>
            </w:r>
          </w:p>
        </w:tc>
        <w:tc>
          <w:tcPr>
            <w:tcW w:w="3119" w:type="dxa"/>
            <w:shd w:val="clear" w:color="auto" w:fill="D5DCE4" w:themeFill="text2" w:themeFillTint="33"/>
            <w:vAlign w:val="center"/>
          </w:tcPr>
          <w:p w14:paraId="0029725A" w14:textId="77777777" w:rsidR="00A73D0F" w:rsidRPr="0065350D" w:rsidRDefault="00A73D0F" w:rsidP="008670EB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50D">
              <w:rPr>
                <w:rFonts w:ascii="Times New Roman" w:hAnsi="Times New Roman" w:cs="Times New Roman"/>
                <w:bCs/>
                <w:sz w:val="20"/>
                <w:szCs w:val="20"/>
              </w:rPr>
              <w:t>Typ:</w:t>
            </w:r>
          </w:p>
          <w:p w14:paraId="2E831476" w14:textId="77777777" w:rsidR="00A73D0F" w:rsidRPr="0065350D" w:rsidRDefault="00A73D0F" w:rsidP="008670EB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50D">
              <w:rPr>
                <w:rFonts w:ascii="Times New Roman" w:hAnsi="Times New Roman" w:cs="Times New Roman"/>
                <w:bCs/>
                <w:sz w:val="20"/>
                <w:szCs w:val="20"/>
              </w:rPr>
              <w:t>Model:</w:t>
            </w:r>
          </w:p>
          <w:p w14:paraId="6438749A" w14:textId="323A0703" w:rsidR="00A73D0F" w:rsidRPr="0065350D" w:rsidRDefault="00A73D0F" w:rsidP="008670EB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50D">
              <w:rPr>
                <w:rFonts w:ascii="Times New Roman" w:hAnsi="Times New Roman" w:cs="Times New Roman"/>
                <w:bCs/>
                <w:sz w:val="20"/>
                <w:szCs w:val="20"/>
              </w:rPr>
              <w:t>Producent:</w:t>
            </w:r>
          </w:p>
        </w:tc>
      </w:tr>
    </w:tbl>
    <w:tbl>
      <w:tblPr>
        <w:tblStyle w:val="Tabela-Siatka1"/>
        <w:tblW w:w="10200" w:type="dxa"/>
        <w:tblInd w:w="-572" w:type="dxa"/>
        <w:tblLook w:val="04A0" w:firstRow="1" w:lastRow="0" w:firstColumn="1" w:lastColumn="0" w:noHBand="0" w:noVBand="1"/>
      </w:tblPr>
      <w:tblGrid>
        <w:gridCol w:w="6946"/>
        <w:gridCol w:w="3254"/>
      </w:tblGrid>
      <w:tr w:rsidR="000F3EC3" w:rsidRPr="0065350D" w14:paraId="3A4E5C92" w14:textId="6C33D1EF" w:rsidTr="000F3EC3">
        <w:trPr>
          <w:trHeight w:val="24"/>
        </w:trPr>
        <w:tc>
          <w:tcPr>
            <w:tcW w:w="6946" w:type="dxa"/>
          </w:tcPr>
          <w:bookmarkEnd w:id="1"/>
          <w:p w14:paraId="70E5C89F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System musi udostępniać mechanizmy pozwalające na integracje urządzeń źródłowych nie znajdujących się w powyższej liście, z wykorzystaniem graficznego kreatora reguł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parsowania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254" w:type="dxa"/>
          </w:tcPr>
          <w:p w14:paraId="1B09B57D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6202EC9E" w14:textId="63E31C83" w:rsidTr="000F3EC3">
        <w:trPr>
          <w:trHeight w:val="24"/>
        </w:trPr>
        <w:tc>
          <w:tcPr>
            <w:tcW w:w="6946" w:type="dxa"/>
          </w:tcPr>
          <w:p w14:paraId="6B421A96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 xml:space="preserve">Graficzny kreator reguł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parsowania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musi obsługiwać co najmniej formaty: JSON, CEF, LEEF, lista, lista par "klucz-wartość", XML.</w:t>
            </w:r>
          </w:p>
        </w:tc>
        <w:tc>
          <w:tcPr>
            <w:tcW w:w="3254" w:type="dxa"/>
          </w:tcPr>
          <w:p w14:paraId="1AC9AB8D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176D247C" w14:textId="43FAABE7" w:rsidTr="000F3EC3">
        <w:trPr>
          <w:trHeight w:val="24"/>
        </w:trPr>
        <w:tc>
          <w:tcPr>
            <w:tcW w:w="6946" w:type="dxa"/>
          </w:tcPr>
          <w:p w14:paraId="253C5A9E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 xml:space="preserve">Graficzny kreator reguł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parsowania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musi umożliwiać tworzenie reguł z wykorzystaniem wyrażeń regularnych.</w:t>
            </w:r>
          </w:p>
        </w:tc>
        <w:tc>
          <w:tcPr>
            <w:tcW w:w="3254" w:type="dxa"/>
          </w:tcPr>
          <w:p w14:paraId="02A186CD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712AF30D" w14:textId="24996278" w:rsidTr="000F3EC3">
        <w:trPr>
          <w:trHeight w:val="24"/>
        </w:trPr>
        <w:tc>
          <w:tcPr>
            <w:tcW w:w="6946" w:type="dxa"/>
          </w:tcPr>
          <w:p w14:paraId="511D6EA8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 xml:space="preserve">Graficzny kreator reguł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parsowanie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musi mieć możliwość podpowiadania użytkownikowi wzorca wyrażenia regularnego dla wskazanego łańcucha w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payloadzie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54" w:type="dxa"/>
          </w:tcPr>
          <w:p w14:paraId="2B634ACB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049E8B5E" w14:textId="1DE4ED9E" w:rsidTr="000F3EC3">
        <w:trPr>
          <w:trHeight w:val="24"/>
        </w:trPr>
        <w:tc>
          <w:tcPr>
            <w:tcW w:w="6946" w:type="dxa"/>
          </w:tcPr>
          <w:p w14:paraId="17BB39A1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Mechanizmy integracji źródeł, zarówno tych wskazanych przy wdrożeniu, jak i integrowanych w przyszłości przez Zamawiającego, nie mogą być w żaden sposób ograniczane licencyjnie przez producenta ani wymagać dodatkowych opłat ze strony Zamawiającego.</w:t>
            </w:r>
          </w:p>
        </w:tc>
        <w:tc>
          <w:tcPr>
            <w:tcW w:w="3254" w:type="dxa"/>
          </w:tcPr>
          <w:p w14:paraId="727C8DF4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4D82AE4F" w14:textId="395C530F" w:rsidTr="000F3EC3">
        <w:trPr>
          <w:trHeight w:val="24"/>
        </w:trPr>
        <w:tc>
          <w:tcPr>
            <w:tcW w:w="6946" w:type="dxa"/>
          </w:tcPr>
          <w:p w14:paraId="51553943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umożliwiać zmianę sposobu normalizacji danych w trakcie używania systemu i pozwalać na równoległe używanie różnych sposobów normalizacji logów.</w:t>
            </w:r>
          </w:p>
        </w:tc>
        <w:tc>
          <w:tcPr>
            <w:tcW w:w="3254" w:type="dxa"/>
          </w:tcPr>
          <w:p w14:paraId="25EB393F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45586D28" w14:textId="1CF7D9FD" w:rsidTr="000F3EC3">
        <w:trPr>
          <w:trHeight w:val="24"/>
        </w:trPr>
        <w:tc>
          <w:tcPr>
            <w:tcW w:w="6946" w:type="dxa"/>
          </w:tcPr>
          <w:p w14:paraId="2965E6EA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 xml:space="preserve">System musi posiadać możliwość automatycznego rozpoznawania źródeł logów, które są przekierowane do SIEM (zakładając, że posiada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parser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dla technologii tego źródła danych). Musi automatycznie rozpoznać typ logu i dobrać odpowiedni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parser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>, tak aby nie była wymagana żadna aktywność ze strony administratora systemu</w:t>
            </w:r>
          </w:p>
        </w:tc>
        <w:tc>
          <w:tcPr>
            <w:tcW w:w="3254" w:type="dxa"/>
          </w:tcPr>
          <w:p w14:paraId="6B727C6D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4D821D4F" w14:textId="7E51CAB3" w:rsidTr="000F3EC3">
        <w:trPr>
          <w:trHeight w:val="24"/>
        </w:trPr>
        <w:tc>
          <w:tcPr>
            <w:tcW w:w="6946" w:type="dxa"/>
          </w:tcPr>
          <w:p w14:paraId="6C6082AD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 xml:space="preserve">System musi umożliwiać pobieranie i analizę przepływów co najmniej w formatach: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Netflow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w wersji 1, 5, 7 i 9, IPFIX,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sFLow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w wersji 2, 4 i 5, J-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Flow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Packeteer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54" w:type="dxa"/>
          </w:tcPr>
          <w:p w14:paraId="22DA41F8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2BCDE92B" w14:textId="409B0A1D" w:rsidTr="000F3EC3">
        <w:trPr>
          <w:trHeight w:val="24"/>
        </w:trPr>
        <w:tc>
          <w:tcPr>
            <w:tcW w:w="6946" w:type="dxa"/>
          </w:tcPr>
          <w:p w14:paraId="13AB4049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posiadać możliwość zainstalowania natywnego komponentu generującego dane o przepływach na podstawie analizy ruchu sieciowego.</w:t>
            </w:r>
          </w:p>
        </w:tc>
        <w:tc>
          <w:tcPr>
            <w:tcW w:w="3254" w:type="dxa"/>
          </w:tcPr>
          <w:p w14:paraId="16DFD5CD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0B0B5D8C" w14:textId="70415553" w:rsidTr="000F3EC3">
        <w:trPr>
          <w:trHeight w:val="24"/>
        </w:trPr>
        <w:tc>
          <w:tcPr>
            <w:tcW w:w="6946" w:type="dxa"/>
          </w:tcPr>
          <w:p w14:paraId="1576D663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mieć możliwość przeprowadzenia zarówno bez agentowej jak i agentowej akwizycji danych. W przypadku stosowania agentów, system nie może ograniczać licencyjnie ilości wykorzystywanych agentów.</w:t>
            </w:r>
          </w:p>
        </w:tc>
        <w:tc>
          <w:tcPr>
            <w:tcW w:w="3254" w:type="dxa"/>
          </w:tcPr>
          <w:p w14:paraId="15734D16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6AE11757" w14:textId="4B8CE29A" w:rsidTr="000F3EC3">
        <w:trPr>
          <w:trHeight w:val="24"/>
        </w:trPr>
        <w:tc>
          <w:tcPr>
            <w:tcW w:w="6946" w:type="dxa"/>
          </w:tcPr>
          <w:p w14:paraId="4E108592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Zbierane informacje muszą być poddane w systemie korelacji, na podstawie których administratorzy systemu będą informowani o stanie bezpieczeństwa infrastruktury Zamawiającego oraz ostrzegani o ewentualnych incydentach bezpieczeństwa</w:t>
            </w:r>
          </w:p>
        </w:tc>
        <w:tc>
          <w:tcPr>
            <w:tcW w:w="3254" w:type="dxa"/>
          </w:tcPr>
          <w:p w14:paraId="76DE035C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104046E2" w14:textId="32AFCE6F" w:rsidTr="000F3EC3">
        <w:trPr>
          <w:trHeight w:val="24"/>
        </w:trPr>
        <w:tc>
          <w:tcPr>
            <w:tcW w:w="6946" w:type="dxa"/>
          </w:tcPr>
          <w:p w14:paraId="5849549F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zawierać bazę co najmniej 100 predefiniowanych reguł korelacyjnych, których wykorzystanie przez Zamawiającego nie wymaga ponoszenia dodatkowych nakładów z tym związanych.</w:t>
            </w:r>
          </w:p>
        </w:tc>
        <w:tc>
          <w:tcPr>
            <w:tcW w:w="3254" w:type="dxa"/>
          </w:tcPr>
          <w:p w14:paraId="1D8F4FEB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56DDA9BC" w14:textId="2FD74057" w:rsidTr="000F3EC3">
        <w:trPr>
          <w:trHeight w:val="24"/>
        </w:trPr>
        <w:tc>
          <w:tcPr>
            <w:tcW w:w="6946" w:type="dxa"/>
          </w:tcPr>
          <w:p w14:paraId="0CEC0DE4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umożliwiać budowanie reguł korelacyjnych bazujących na zdarzeniach, przepływach, jednocześnie zdarzeniach i przepływach, a także na innych korelacjach</w:t>
            </w:r>
          </w:p>
        </w:tc>
        <w:tc>
          <w:tcPr>
            <w:tcW w:w="3254" w:type="dxa"/>
          </w:tcPr>
          <w:p w14:paraId="6FCC0BEA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0360B039" w14:textId="04369D2A" w:rsidTr="000F3EC3">
        <w:trPr>
          <w:trHeight w:val="24"/>
        </w:trPr>
        <w:tc>
          <w:tcPr>
            <w:tcW w:w="6946" w:type="dxa"/>
          </w:tcPr>
          <w:p w14:paraId="10C57D32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umożliwia wykorzystanie reguł korelacyjnych jako bloków do wykorzystania w nadrzędnych regułach korelacyjnych.</w:t>
            </w:r>
          </w:p>
        </w:tc>
        <w:tc>
          <w:tcPr>
            <w:tcW w:w="3254" w:type="dxa"/>
          </w:tcPr>
          <w:p w14:paraId="3E3809E8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726C2C26" w14:textId="62E95827" w:rsidTr="000F3EC3">
        <w:trPr>
          <w:trHeight w:val="24"/>
        </w:trPr>
        <w:tc>
          <w:tcPr>
            <w:tcW w:w="6946" w:type="dxa"/>
          </w:tcPr>
          <w:p w14:paraId="2F553201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 xml:space="preserve">System, oprócz prezentowania informacji o alertach w tablicach, musi posiadać możliwość powiadamiania o zdarzeniach co najmniej przez: powiadomienie ekranowe, e-mail,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syslog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>, SNMP, wywołanie skryptu</w:t>
            </w:r>
          </w:p>
        </w:tc>
        <w:tc>
          <w:tcPr>
            <w:tcW w:w="3254" w:type="dxa"/>
          </w:tcPr>
          <w:p w14:paraId="2CE7A8F6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3BDCD4DC" w14:textId="3CFEBACD" w:rsidTr="000F3EC3">
        <w:trPr>
          <w:trHeight w:val="24"/>
        </w:trPr>
        <w:tc>
          <w:tcPr>
            <w:tcW w:w="6946" w:type="dxa"/>
          </w:tcPr>
          <w:p w14:paraId="3AE69B33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umożliwiać zastosowanie w regułach korelacyjnych testów logicznych na wartościach pól bazy danych zdarzeń i przepływów</w:t>
            </w:r>
          </w:p>
        </w:tc>
        <w:tc>
          <w:tcPr>
            <w:tcW w:w="3254" w:type="dxa"/>
          </w:tcPr>
          <w:p w14:paraId="13512151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7C738EBE" w14:textId="4524E90D" w:rsidTr="000F3EC3">
        <w:trPr>
          <w:trHeight w:val="24"/>
        </w:trPr>
        <w:tc>
          <w:tcPr>
            <w:tcW w:w="6946" w:type="dxa"/>
          </w:tcPr>
          <w:p w14:paraId="21DED3E4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umożliwiać zastosowanie w regułach języka zapytań bazy danych zdarzeń i przepływów</w:t>
            </w:r>
          </w:p>
        </w:tc>
        <w:tc>
          <w:tcPr>
            <w:tcW w:w="3254" w:type="dxa"/>
          </w:tcPr>
          <w:p w14:paraId="340D7D40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17CCEB58" w14:textId="3759D30C" w:rsidTr="000F3EC3">
        <w:trPr>
          <w:trHeight w:val="24"/>
        </w:trPr>
        <w:tc>
          <w:tcPr>
            <w:tcW w:w="6946" w:type="dxa"/>
          </w:tcPr>
          <w:p w14:paraId="783802B6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 xml:space="preserve">System musi umożliwiać zastosowanie w regułach testów zawartości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payloadu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zdarzenia.</w:t>
            </w:r>
          </w:p>
        </w:tc>
        <w:tc>
          <w:tcPr>
            <w:tcW w:w="3254" w:type="dxa"/>
          </w:tcPr>
          <w:p w14:paraId="0C0232D4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193365BF" w14:textId="5AA34E39" w:rsidTr="000F3EC3">
        <w:trPr>
          <w:trHeight w:val="24"/>
        </w:trPr>
        <w:tc>
          <w:tcPr>
            <w:tcW w:w="6946" w:type="dxa"/>
          </w:tcPr>
          <w:p w14:paraId="2B6D3FC0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lastRenderedPageBreak/>
              <w:t>Rozwiązanie musi posiadać wbudowane mechanizmy śledzące wydajność reguł korelacyjnych</w:t>
            </w:r>
          </w:p>
        </w:tc>
        <w:tc>
          <w:tcPr>
            <w:tcW w:w="3254" w:type="dxa"/>
          </w:tcPr>
          <w:p w14:paraId="45FCB873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30735087" w14:textId="1AE57AA9" w:rsidTr="000F3EC3">
        <w:trPr>
          <w:trHeight w:val="24"/>
        </w:trPr>
        <w:tc>
          <w:tcPr>
            <w:tcW w:w="6946" w:type="dxa"/>
          </w:tcPr>
          <w:p w14:paraId="63D2FE51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 xml:space="preserve">System musi umożliwiać oznaczanie reguł taktykami i technikami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frameworku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MITTRE ATT&amp;CK</w:t>
            </w:r>
          </w:p>
        </w:tc>
        <w:tc>
          <w:tcPr>
            <w:tcW w:w="3254" w:type="dxa"/>
          </w:tcPr>
          <w:p w14:paraId="709F60A9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3B68C7EA" w14:textId="118B84CA" w:rsidTr="000F3EC3">
        <w:trPr>
          <w:trHeight w:val="24"/>
        </w:trPr>
        <w:tc>
          <w:tcPr>
            <w:tcW w:w="6946" w:type="dxa"/>
          </w:tcPr>
          <w:p w14:paraId="52E5227C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nie może wykorzystywać bazy danych ogólnego zastosowania do przechowywania zdarzeń i przepływów</w:t>
            </w:r>
          </w:p>
        </w:tc>
        <w:tc>
          <w:tcPr>
            <w:tcW w:w="3254" w:type="dxa"/>
          </w:tcPr>
          <w:p w14:paraId="3071E7EA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0E337D87" w14:textId="791A0E83" w:rsidTr="000F3EC3">
        <w:trPr>
          <w:trHeight w:val="24"/>
        </w:trPr>
        <w:tc>
          <w:tcPr>
            <w:tcW w:w="6946" w:type="dxa"/>
          </w:tcPr>
          <w:p w14:paraId="3DCA1FD2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 xml:space="preserve">Baza danych musi umożliwiać wydawanie poleceń w języku zapytań bazy danych. </w:t>
            </w:r>
          </w:p>
        </w:tc>
        <w:tc>
          <w:tcPr>
            <w:tcW w:w="3254" w:type="dxa"/>
          </w:tcPr>
          <w:p w14:paraId="77ABABF3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4968B53A" w14:textId="399F344A" w:rsidTr="000F3EC3">
        <w:trPr>
          <w:trHeight w:val="24"/>
        </w:trPr>
        <w:tc>
          <w:tcPr>
            <w:tcW w:w="6946" w:type="dxa"/>
          </w:tcPr>
          <w:p w14:paraId="68636D65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Ze względu na zachowanie integralności danych, język bazy danych zdarzeń i przepływów może pozwalać na wykonanie jedynie polecenia SELECT. Baza danych nie może pozwalać na wykonywanie poleceń UPDATE, INSERT i DELETE.</w:t>
            </w:r>
          </w:p>
        </w:tc>
        <w:tc>
          <w:tcPr>
            <w:tcW w:w="3254" w:type="dxa"/>
          </w:tcPr>
          <w:p w14:paraId="2BA5D639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1E285468" w14:textId="010C2F46" w:rsidTr="000F3EC3">
        <w:trPr>
          <w:trHeight w:val="24"/>
        </w:trPr>
        <w:tc>
          <w:tcPr>
            <w:tcW w:w="6946" w:type="dxa"/>
          </w:tcPr>
          <w:p w14:paraId="50FD3D5F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 xml:space="preserve">Dane pochodzące z logów zapisywane są w domyślnie dostępnych polach bazy danych przynajmniej takich jak: nazwa zdarzenia, kategoria zdarzenia, adres IP źródłowy, źródłowy port TCP/IP, adres IP źródłowy przed translacją, adres IP źródłowy po translacji, czas urządzenia, z którego wysłany był log, nazwa protokołu, nazwa użytkownika, nazwa hosta, nazwa grupy, nazwa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NetBIOS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(o ile zawartość tych pól jest zawarta w logu)</w:t>
            </w:r>
          </w:p>
        </w:tc>
        <w:tc>
          <w:tcPr>
            <w:tcW w:w="3254" w:type="dxa"/>
          </w:tcPr>
          <w:p w14:paraId="4B7E3C1D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4BA3F7D0" w14:textId="77A10641" w:rsidTr="000F3EC3">
        <w:trPr>
          <w:trHeight w:val="24"/>
        </w:trPr>
        <w:tc>
          <w:tcPr>
            <w:tcW w:w="6946" w:type="dxa"/>
          </w:tcPr>
          <w:p w14:paraId="0C3AED08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Dane pochodzące z przepływów sieciowych muszą zostać domyślnie zapisane w dostępnych polach bazy danych przynajmniej takich jak: adres IP źródłowy, port źródłowy, adres IP docelowy, port docelowy, ilość wysłanych/odebranych</w:t>
            </w:r>
          </w:p>
        </w:tc>
        <w:tc>
          <w:tcPr>
            <w:tcW w:w="3254" w:type="dxa"/>
          </w:tcPr>
          <w:p w14:paraId="7779E1FF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3F79A3DD" w14:textId="6502F3FD" w:rsidTr="000F3EC3">
        <w:trPr>
          <w:trHeight w:val="24"/>
        </w:trPr>
        <w:tc>
          <w:tcPr>
            <w:tcW w:w="6946" w:type="dxa"/>
          </w:tcPr>
          <w:p w14:paraId="6C66D155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umożliwiać dodanie własnych pól w bazie, które można przywoływać jako kryteria wyszukiwania, określane przy pomocy nowych wzorców</w:t>
            </w:r>
          </w:p>
        </w:tc>
        <w:tc>
          <w:tcPr>
            <w:tcW w:w="3254" w:type="dxa"/>
          </w:tcPr>
          <w:p w14:paraId="3D571FE1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0CC34371" w14:textId="0796CA89" w:rsidTr="000F3EC3">
        <w:trPr>
          <w:trHeight w:val="24"/>
        </w:trPr>
        <w:tc>
          <w:tcPr>
            <w:tcW w:w="6946" w:type="dxa"/>
          </w:tcPr>
          <w:p w14:paraId="38902409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 xml:space="preserve">System musi przechowywać w bazie danych również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payloady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zdarzeń i przepływów</w:t>
            </w:r>
          </w:p>
        </w:tc>
        <w:tc>
          <w:tcPr>
            <w:tcW w:w="3254" w:type="dxa"/>
          </w:tcPr>
          <w:p w14:paraId="3EE49382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0510C938" w14:textId="2CE0D9C1" w:rsidTr="000F3EC3">
        <w:trPr>
          <w:trHeight w:val="24"/>
        </w:trPr>
        <w:tc>
          <w:tcPr>
            <w:tcW w:w="6946" w:type="dxa"/>
          </w:tcPr>
          <w:p w14:paraId="39FEF52E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 xml:space="preserve">System musi umożliwiać wskazanie które pola mają być zapisywane w bazie danych bezpośrednio po otrzymaniu zdarzenia, a które nie. W tym drugim przypadku wartość pola jest każdorazowo wyznaczana z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payloadu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na podstawie reguł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parsera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w momencie użycia tego pola (np. przy wyświetleniu lub wykonaniu testu logicznego na polu)</w:t>
            </w:r>
          </w:p>
        </w:tc>
        <w:tc>
          <w:tcPr>
            <w:tcW w:w="3254" w:type="dxa"/>
          </w:tcPr>
          <w:p w14:paraId="490E8C57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6A146779" w14:textId="507FCAD3" w:rsidTr="000F3EC3">
        <w:trPr>
          <w:trHeight w:val="24"/>
        </w:trPr>
        <w:tc>
          <w:tcPr>
            <w:tcW w:w="6946" w:type="dxa"/>
          </w:tcPr>
          <w:p w14:paraId="70042535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umożliwić zapisanie wzorca wyszukiwania, a także związanych z nim szablonów prezentacji oraz wyników w celu późniejszego przywołania lub też udostępnienia wyszukiwania innym użytkownikom.</w:t>
            </w:r>
          </w:p>
        </w:tc>
        <w:tc>
          <w:tcPr>
            <w:tcW w:w="3254" w:type="dxa"/>
          </w:tcPr>
          <w:p w14:paraId="5194EEF2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4744B227" w14:textId="3B03776B" w:rsidTr="000F3EC3">
        <w:trPr>
          <w:trHeight w:val="24"/>
        </w:trPr>
        <w:tc>
          <w:tcPr>
            <w:tcW w:w="6946" w:type="dxa"/>
          </w:tcPr>
          <w:p w14:paraId="2BD28BAA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umożliwiać umieszczenie zapisanego wzorca w ramach utworzonej grupy wzorców, na tablicach (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dashboard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>) oraz w miejscu umożliwiającym szybki dostęp</w:t>
            </w:r>
          </w:p>
        </w:tc>
        <w:tc>
          <w:tcPr>
            <w:tcW w:w="3254" w:type="dxa"/>
          </w:tcPr>
          <w:p w14:paraId="0F090D4E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3266C159" w14:textId="734A63BF" w:rsidTr="000F3EC3">
        <w:trPr>
          <w:trHeight w:val="24"/>
        </w:trPr>
        <w:tc>
          <w:tcPr>
            <w:tcW w:w="6946" w:type="dxa"/>
          </w:tcPr>
          <w:p w14:paraId="31736141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być w stanie przyjąć i przetworzyć minimum 195 zdarzeń na sekundę (EPS) i być gotowym na przyjęcie chwilowych gwałtownych przyrostów ilości zdarzeń bez ich utraty</w:t>
            </w:r>
          </w:p>
        </w:tc>
        <w:tc>
          <w:tcPr>
            <w:tcW w:w="3254" w:type="dxa"/>
          </w:tcPr>
          <w:p w14:paraId="07E18C7A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41D385D5" w14:textId="3071D954" w:rsidTr="000F3EC3">
        <w:trPr>
          <w:trHeight w:val="24"/>
        </w:trPr>
        <w:tc>
          <w:tcPr>
            <w:tcW w:w="6946" w:type="dxa"/>
          </w:tcPr>
          <w:p w14:paraId="2B1438CB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być w stanie przyjąć i przetworzyć minimum 6000 przepływów sieciowych na minutę (FPM) i być gotowym na przyjęcie chwilowych gwałtownych przyrostów zdarzeń bez ich utraty</w:t>
            </w:r>
          </w:p>
        </w:tc>
        <w:tc>
          <w:tcPr>
            <w:tcW w:w="3254" w:type="dxa"/>
          </w:tcPr>
          <w:p w14:paraId="1AAB2DE8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340BE64F" w14:textId="0F679EEA" w:rsidTr="000F3EC3">
        <w:trPr>
          <w:trHeight w:val="24"/>
        </w:trPr>
        <w:tc>
          <w:tcPr>
            <w:tcW w:w="6946" w:type="dxa"/>
          </w:tcPr>
          <w:p w14:paraId="6AC21E28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 być w stanie monitorować środowisko 14 serwerów</w:t>
            </w:r>
          </w:p>
        </w:tc>
        <w:tc>
          <w:tcPr>
            <w:tcW w:w="3254" w:type="dxa"/>
          </w:tcPr>
          <w:p w14:paraId="15483880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5B14A030" w14:textId="5EB985F0" w:rsidTr="000F3EC3">
        <w:trPr>
          <w:trHeight w:val="24"/>
        </w:trPr>
        <w:tc>
          <w:tcPr>
            <w:tcW w:w="6946" w:type="dxa"/>
          </w:tcPr>
          <w:p w14:paraId="478F2F41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mieć możliwość budowania profilu stanu i zachowania środowiska IT oraz identyfikowania odchyleń i wykrywania anomalii na podstawie analizy behawioralnej.</w:t>
            </w:r>
          </w:p>
        </w:tc>
        <w:tc>
          <w:tcPr>
            <w:tcW w:w="3254" w:type="dxa"/>
          </w:tcPr>
          <w:p w14:paraId="0E543403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07C35AEF" w14:textId="4FB78E66" w:rsidTr="000F3EC3">
        <w:trPr>
          <w:trHeight w:val="24"/>
        </w:trPr>
        <w:tc>
          <w:tcPr>
            <w:tcW w:w="6946" w:type="dxa"/>
          </w:tcPr>
          <w:p w14:paraId="41522788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mieć możliwość wykrywania anomalii na podstawie odchyłki wartości w ostatnim okresie od wartości w okresie historycznym</w:t>
            </w:r>
          </w:p>
        </w:tc>
        <w:tc>
          <w:tcPr>
            <w:tcW w:w="3254" w:type="dxa"/>
          </w:tcPr>
          <w:p w14:paraId="4FDECFF9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2934E1DA" w14:textId="7E893E85" w:rsidTr="000F3EC3">
        <w:trPr>
          <w:trHeight w:val="24"/>
        </w:trPr>
        <w:tc>
          <w:tcPr>
            <w:tcW w:w="6946" w:type="dxa"/>
          </w:tcPr>
          <w:p w14:paraId="6C844416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mieć możliwość wykrywania anomalii na podstawie przekroczenia wartości progowej</w:t>
            </w:r>
          </w:p>
        </w:tc>
        <w:tc>
          <w:tcPr>
            <w:tcW w:w="3254" w:type="dxa"/>
          </w:tcPr>
          <w:p w14:paraId="7230824E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7B84D827" w14:textId="7EE95944" w:rsidTr="000F3EC3">
        <w:trPr>
          <w:trHeight w:val="24"/>
        </w:trPr>
        <w:tc>
          <w:tcPr>
            <w:tcW w:w="6946" w:type="dxa"/>
          </w:tcPr>
          <w:p w14:paraId="6CC9245C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mieć możliwość wykrywania anomalii na podstawie odchyłki wartości od zarejestrowanego trendu</w:t>
            </w:r>
          </w:p>
        </w:tc>
        <w:tc>
          <w:tcPr>
            <w:tcW w:w="3254" w:type="dxa"/>
          </w:tcPr>
          <w:p w14:paraId="59127844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71173D4B" w14:textId="60647E1E" w:rsidTr="000F3EC3">
        <w:trPr>
          <w:trHeight w:val="24"/>
        </w:trPr>
        <w:tc>
          <w:tcPr>
            <w:tcW w:w="6946" w:type="dxa"/>
          </w:tcPr>
          <w:p w14:paraId="32653E63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lastRenderedPageBreak/>
              <w:t>System musi umożliwiać tworzenie szablonów raportów</w:t>
            </w:r>
          </w:p>
        </w:tc>
        <w:tc>
          <w:tcPr>
            <w:tcW w:w="3254" w:type="dxa"/>
          </w:tcPr>
          <w:p w14:paraId="0A472C3A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01FA3ED6" w14:textId="1D03E1CB" w:rsidTr="000F3EC3">
        <w:trPr>
          <w:trHeight w:val="24"/>
        </w:trPr>
        <w:tc>
          <w:tcPr>
            <w:tcW w:w="6946" w:type="dxa"/>
          </w:tcPr>
          <w:p w14:paraId="23976494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Wymagane formaty raportów: co najmniej PDF, HTML, XML, XLS, CSV.</w:t>
            </w:r>
          </w:p>
        </w:tc>
        <w:tc>
          <w:tcPr>
            <w:tcW w:w="3254" w:type="dxa"/>
          </w:tcPr>
          <w:p w14:paraId="38F9E06B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2F0E1290" w14:textId="0EC79C12" w:rsidTr="000F3EC3">
        <w:trPr>
          <w:trHeight w:val="24"/>
        </w:trPr>
        <w:tc>
          <w:tcPr>
            <w:tcW w:w="6946" w:type="dxa"/>
          </w:tcPr>
          <w:p w14:paraId="78494CA3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mieć możliwość generowania raportów zgodnie z ustalonym harmonogramem czasowym</w:t>
            </w:r>
          </w:p>
        </w:tc>
        <w:tc>
          <w:tcPr>
            <w:tcW w:w="3254" w:type="dxa"/>
          </w:tcPr>
          <w:p w14:paraId="1ABB24E6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53A3DFD8" w14:textId="4A52A8C6" w:rsidTr="000F3EC3">
        <w:trPr>
          <w:trHeight w:val="24"/>
        </w:trPr>
        <w:tc>
          <w:tcPr>
            <w:tcW w:w="6946" w:type="dxa"/>
          </w:tcPr>
          <w:p w14:paraId="49EAE6C5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mieć możliwość wysyłania mailem raportów na wskazane adresy</w:t>
            </w:r>
          </w:p>
        </w:tc>
        <w:tc>
          <w:tcPr>
            <w:tcW w:w="3254" w:type="dxa"/>
          </w:tcPr>
          <w:p w14:paraId="6021A0F3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389EDD52" w14:textId="375B65A1" w:rsidTr="000F3EC3">
        <w:trPr>
          <w:trHeight w:val="24"/>
        </w:trPr>
        <w:tc>
          <w:tcPr>
            <w:tcW w:w="6946" w:type="dxa"/>
          </w:tcPr>
          <w:p w14:paraId="50CF37DC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mieć możliwość weryfikowania tożsamości użytkowników poprzez wykorzystanie kont lokalnych oraz zewnętrzne systemy uwierzytelnienia – MS Active Directory oraz RADIUS i LDAP.</w:t>
            </w:r>
          </w:p>
        </w:tc>
        <w:tc>
          <w:tcPr>
            <w:tcW w:w="3254" w:type="dxa"/>
          </w:tcPr>
          <w:p w14:paraId="48569D17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4EF5B2D1" w14:textId="2950ADB8" w:rsidTr="000F3EC3">
        <w:trPr>
          <w:trHeight w:val="24"/>
        </w:trPr>
        <w:tc>
          <w:tcPr>
            <w:tcW w:w="6946" w:type="dxa"/>
          </w:tcPr>
          <w:p w14:paraId="419D69EE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zawierać funkcjonalność precyzyjnego nadawania uprawnień użytkownikom i administratorom.</w:t>
            </w:r>
          </w:p>
        </w:tc>
        <w:tc>
          <w:tcPr>
            <w:tcW w:w="3254" w:type="dxa"/>
          </w:tcPr>
          <w:p w14:paraId="1725222B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3915DB72" w14:textId="7048CFE7" w:rsidTr="000F3EC3">
        <w:trPr>
          <w:trHeight w:val="24"/>
        </w:trPr>
        <w:tc>
          <w:tcPr>
            <w:tcW w:w="6946" w:type="dxa"/>
          </w:tcPr>
          <w:p w14:paraId="42D9D038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posiadać zaimplementowane mechanizmy automatycznej kontroli własnego stanu oraz alarmowania w przypadku wykrytych nieprawidłowości</w:t>
            </w:r>
          </w:p>
        </w:tc>
        <w:tc>
          <w:tcPr>
            <w:tcW w:w="3254" w:type="dxa"/>
          </w:tcPr>
          <w:p w14:paraId="345CD6AA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3FEC596D" w14:textId="1240221B" w:rsidTr="000F3EC3">
        <w:trPr>
          <w:trHeight w:val="24"/>
        </w:trPr>
        <w:tc>
          <w:tcPr>
            <w:tcW w:w="6946" w:type="dxa"/>
          </w:tcPr>
          <w:p w14:paraId="16907BDC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 xml:space="preserve">System musi posiadać zaimplementowany dedykowany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dashboard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prezentujący dokładne statystyki związane z wydajnością systemu, co najmniej utylizacja CPU, utylizacja pamięci RAM,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heap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usage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disk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IO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throughtput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disk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IOPS, statystyki połączeń sieciowych, ilość wykonywanych zapytań, statystyki dotyczące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wywołań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API itp.</w:t>
            </w:r>
          </w:p>
        </w:tc>
        <w:tc>
          <w:tcPr>
            <w:tcW w:w="3254" w:type="dxa"/>
          </w:tcPr>
          <w:p w14:paraId="41691397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5BAB7461" w14:textId="017EF2B2" w:rsidTr="000F3EC3">
        <w:trPr>
          <w:trHeight w:val="24"/>
        </w:trPr>
        <w:tc>
          <w:tcPr>
            <w:tcW w:w="6946" w:type="dxa"/>
          </w:tcPr>
          <w:p w14:paraId="692F6E68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zapewniać centralne gromadzenie wszystkich logów i zapewniać ich bezpieczne przechowywanie oraz dostępność przez okres 365 dni</w:t>
            </w:r>
          </w:p>
        </w:tc>
        <w:tc>
          <w:tcPr>
            <w:tcW w:w="3254" w:type="dxa"/>
          </w:tcPr>
          <w:p w14:paraId="7E31421E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223E362D" w14:textId="3B93D490" w:rsidTr="000F3EC3">
        <w:trPr>
          <w:trHeight w:val="24"/>
        </w:trPr>
        <w:tc>
          <w:tcPr>
            <w:tcW w:w="6946" w:type="dxa"/>
          </w:tcPr>
          <w:p w14:paraId="5B9C9CF4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samodzielnie zarządzać retencją danych</w:t>
            </w:r>
          </w:p>
        </w:tc>
        <w:tc>
          <w:tcPr>
            <w:tcW w:w="3254" w:type="dxa"/>
          </w:tcPr>
          <w:p w14:paraId="314E6AA9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724AFA32" w14:textId="36399A16" w:rsidTr="000F3EC3">
        <w:trPr>
          <w:trHeight w:val="24"/>
        </w:trPr>
        <w:tc>
          <w:tcPr>
            <w:tcW w:w="6946" w:type="dxa"/>
          </w:tcPr>
          <w:p w14:paraId="47B127A7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umożliwiać wyspecyfikowanie różnego czasu retencji danych dla różnych zdarzeń i przepływów - na podstawie zawartości pól bazy danych</w:t>
            </w:r>
          </w:p>
        </w:tc>
        <w:tc>
          <w:tcPr>
            <w:tcW w:w="3254" w:type="dxa"/>
          </w:tcPr>
          <w:p w14:paraId="5AD910A3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18B40347" w14:textId="1AFA074C" w:rsidTr="000F3EC3">
        <w:trPr>
          <w:trHeight w:val="24"/>
        </w:trPr>
        <w:tc>
          <w:tcPr>
            <w:tcW w:w="6946" w:type="dxa"/>
          </w:tcPr>
          <w:p w14:paraId="416D49C6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posiadać mechanizm automatycznego archiwizowania danych i konfiguracji systemu do katalogu w lokalnym systemie plików i określenia retencji dla przechowywanych w ten sposób danych.</w:t>
            </w:r>
          </w:p>
        </w:tc>
        <w:tc>
          <w:tcPr>
            <w:tcW w:w="3254" w:type="dxa"/>
          </w:tcPr>
          <w:p w14:paraId="04F6B32C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759E157B" w14:textId="2DB90443" w:rsidTr="000F3EC3">
        <w:trPr>
          <w:trHeight w:val="24"/>
        </w:trPr>
        <w:tc>
          <w:tcPr>
            <w:tcW w:w="6946" w:type="dxa"/>
          </w:tcPr>
          <w:p w14:paraId="4CEE862C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umożliwiać włączenie lub wyłączenie indeksacji pola bazy danych z interfejsu graficznego</w:t>
            </w:r>
          </w:p>
        </w:tc>
        <w:tc>
          <w:tcPr>
            <w:tcW w:w="3254" w:type="dxa"/>
          </w:tcPr>
          <w:p w14:paraId="2DE54CCB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57F23BA1" w14:textId="492645AE" w:rsidTr="000F3EC3">
        <w:trPr>
          <w:trHeight w:val="24"/>
        </w:trPr>
        <w:tc>
          <w:tcPr>
            <w:tcW w:w="6946" w:type="dxa"/>
          </w:tcPr>
          <w:p w14:paraId="4CAB052C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Zdarzenia i przepływy muszą być przechowywane w postaci skompresowanej</w:t>
            </w:r>
          </w:p>
        </w:tc>
        <w:tc>
          <w:tcPr>
            <w:tcW w:w="3254" w:type="dxa"/>
          </w:tcPr>
          <w:p w14:paraId="5C4BEE2A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5E661609" w14:textId="47A7EEDE" w:rsidTr="000F3EC3">
        <w:trPr>
          <w:trHeight w:val="24"/>
        </w:trPr>
        <w:tc>
          <w:tcPr>
            <w:tcW w:w="6946" w:type="dxa"/>
          </w:tcPr>
          <w:p w14:paraId="02E676BE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zapewniać możliwość obsługi poprzez przeglądarkę</w:t>
            </w:r>
          </w:p>
        </w:tc>
        <w:tc>
          <w:tcPr>
            <w:tcW w:w="3254" w:type="dxa"/>
          </w:tcPr>
          <w:p w14:paraId="10839816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758F1589" w14:textId="5216D3C6" w:rsidTr="000F3EC3">
        <w:trPr>
          <w:trHeight w:val="24"/>
        </w:trPr>
        <w:tc>
          <w:tcPr>
            <w:tcW w:w="6946" w:type="dxa"/>
          </w:tcPr>
          <w:p w14:paraId="0D684E43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udostępniać możliwość prezentacji statystyk i wyników działania w postaci tablic (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dashboard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>), których wygląd i rozkład poszczególnych składowych daje się dostosować do potrzeb administratora i użytkownika. Widoczność stworzonych i domyślnie dostępnych tablic można przełączać przy pomocy łatwo dostępnej listy rozwijanych pozycji.</w:t>
            </w:r>
          </w:p>
        </w:tc>
        <w:tc>
          <w:tcPr>
            <w:tcW w:w="3254" w:type="dxa"/>
          </w:tcPr>
          <w:p w14:paraId="50C73576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0B0EEC89" w14:textId="25FE5AF8" w:rsidTr="000F3EC3">
        <w:trPr>
          <w:trHeight w:val="24"/>
        </w:trPr>
        <w:tc>
          <w:tcPr>
            <w:tcW w:w="6946" w:type="dxa"/>
          </w:tcPr>
          <w:p w14:paraId="0D3A27A0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Informacje prezentowane w poszczególnych tablicach są wynikiem stworzonych przez producenta predefiniowanych korelacji, a także wyników wyszukiwania stworzonych przez użytkownika lub udostępnionych mu przez innych użytkowników i administratorów.</w:t>
            </w:r>
          </w:p>
        </w:tc>
        <w:tc>
          <w:tcPr>
            <w:tcW w:w="3254" w:type="dxa"/>
          </w:tcPr>
          <w:p w14:paraId="29F4B556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2C7656B5" w14:textId="63B1FFA5" w:rsidTr="000F3EC3">
        <w:trPr>
          <w:trHeight w:val="24"/>
        </w:trPr>
        <w:tc>
          <w:tcPr>
            <w:tcW w:w="6946" w:type="dxa"/>
          </w:tcPr>
          <w:p w14:paraId="5694FB37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nie może wymagać instalacji dedykowanego oprogramowania klienckiego do jego obsługi</w:t>
            </w:r>
          </w:p>
        </w:tc>
        <w:tc>
          <w:tcPr>
            <w:tcW w:w="3254" w:type="dxa"/>
          </w:tcPr>
          <w:p w14:paraId="3EA944DE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53F8E294" w14:textId="352A73B4" w:rsidTr="000F3EC3">
        <w:trPr>
          <w:trHeight w:val="24"/>
        </w:trPr>
        <w:tc>
          <w:tcPr>
            <w:tcW w:w="6946" w:type="dxa"/>
          </w:tcPr>
          <w:p w14:paraId="52E91C8B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umożliwiać prezentację zdarzeń i przepływów na podstawie filtrów tworzonych przy pomocy pól wyboru</w:t>
            </w:r>
          </w:p>
        </w:tc>
        <w:tc>
          <w:tcPr>
            <w:tcW w:w="3254" w:type="dxa"/>
          </w:tcPr>
          <w:p w14:paraId="38A58939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73D4F85E" w14:textId="47DD38B9" w:rsidTr="000F3EC3">
        <w:trPr>
          <w:trHeight w:val="24"/>
        </w:trPr>
        <w:tc>
          <w:tcPr>
            <w:tcW w:w="6946" w:type="dxa"/>
          </w:tcPr>
          <w:p w14:paraId="0E1918B1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umożliwiać prezentację zdarzeń i przepływów na podstawie filtru wyspecyfikowanego w języku bazy danych</w:t>
            </w:r>
          </w:p>
        </w:tc>
        <w:tc>
          <w:tcPr>
            <w:tcW w:w="3254" w:type="dxa"/>
          </w:tcPr>
          <w:p w14:paraId="0CD5FD1C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2D33B3A6" w14:textId="5A28B022" w:rsidTr="000F3EC3">
        <w:trPr>
          <w:trHeight w:val="24"/>
        </w:trPr>
        <w:tc>
          <w:tcPr>
            <w:tcW w:w="6946" w:type="dxa"/>
          </w:tcPr>
          <w:p w14:paraId="4C492595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 xml:space="preserve">System musi umożliwiać prezentację zdarzeń i przepływów na podstawie filtru specyfikującego słowo występujące w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payloadzie</w:t>
            </w:r>
            <w:proofErr w:type="spellEnd"/>
          </w:p>
        </w:tc>
        <w:tc>
          <w:tcPr>
            <w:tcW w:w="3254" w:type="dxa"/>
          </w:tcPr>
          <w:p w14:paraId="65F9F5AC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46AB9F6A" w14:textId="20A96347" w:rsidTr="000F3EC3">
        <w:trPr>
          <w:trHeight w:val="24"/>
        </w:trPr>
        <w:tc>
          <w:tcPr>
            <w:tcW w:w="6946" w:type="dxa"/>
          </w:tcPr>
          <w:p w14:paraId="337FBE13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 xml:space="preserve">System musi mieć możliwość tworzenia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clustra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wysokodostępnego dla każdego z komponentów (za wyjątkiem agenta instalowanych na innym serwerze/stacji oraz analizatora ruchu sieciowego). Awaria pojedynczego komponentu nie może spowodować utraty funkcjonalności i wydajności systemu.</w:t>
            </w:r>
          </w:p>
        </w:tc>
        <w:tc>
          <w:tcPr>
            <w:tcW w:w="3254" w:type="dxa"/>
          </w:tcPr>
          <w:p w14:paraId="1D526BA5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0CD71103" w14:textId="01A87A83" w:rsidTr="000F3EC3">
        <w:trPr>
          <w:trHeight w:val="24"/>
        </w:trPr>
        <w:tc>
          <w:tcPr>
            <w:tcW w:w="6946" w:type="dxa"/>
          </w:tcPr>
          <w:p w14:paraId="410F8E68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lastRenderedPageBreak/>
              <w:t>System musi posiadać architekturę skalowalną horyzontalnie poprzez dodawanie serwerów przechowujących część rozproszonej bazy danych i przetwarzających zdarzenia</w:t>
            </w:r>
          </w:p>
        </w:tc>
        <w:tc>
          <w:tcPr>
            <w:tcW w:w="3254" w:type="dxa"/>
          </w:tcPr>
          <w:p w14:paraId="3770A08C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703E3918" w14:textId="4FB15194" w:rsidTr="000F3EC3">
        <w:trPr>
          <w:trHeight w:val="24"/>
        </w:trPr>
        <w:tc>
          <w:tcPr>
            <w:tcW w:w="6946" w:type="dxa"/>
          </w:tcPr>
          <w:p w14:paraId="31B462C7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Każda z reguł korelacyjnych musi mieć możliwość korelowania zdarzeń i przepływów z wszystkich serwerów przetwarzających dane, bądź z jednego serwera - zależnie od decyzji projektanta reguły</w:t>
            </w:r>
          </w:p>
        </w:tc>
        <w:tc>
          <w:tcPr>
            <w:tcW w:w="3254" w:type="dxa"/>
          </w:tcPr>
          <w:p w14:paraId="6093829D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7A02BE97" w14:textId="34A7308C" w:rsidTr="000F3EC3">
        <w:trPr>
          <w:trHeight w:val="24"/>
        </w:trPr>
        <w:tc>
          <w:tcPr>
            <w:tcW w:w="6946" w:type="dxa"/>
          </w:tcPr>
          <w:p w14:paraId="1E212E87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umożliwiać prezentację zdarzeń i przepływów w postaci tabelarycznej, z możliwością wyboru okresu lub w czasie rzeczywistym</w:t>
            </w:r>
          </w:p>
        </w:tc>
        <w:tc>
          <w:tcPr>
            <w:tcW w:w="3254" w:type="dxa"/>
          </w:tcPr>
          <w:p w14:paraId="0CFE303F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5550DC66" w14:textId="3BF7E3BE" w:rsidTr="000F3EC3">
        <w:trPr>
          <w:trHeight w:val="24"/>
        </w:trPr>
        <w:tc>
          <w:tcPr>
            <w:tcW w:w="6946" w:type="dxa"/>
          </w:tcPr>
          <w:p w14:paraId="5656A6FB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 xml:space="preserve">System musi posiadać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dashboard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prezentujący mapę, na której w czasie rzeczywistym są prezentowane incydenty lub dowolnie zdefiniowane zdarzenia. </w:t>
            </w:r>
          </w:p>
        </w:tc>
        <w:tc>
          <w:tcPr>
            <w:tcW w:w="3254" w:type="dxa"/>
          </w:tcPr>
          <w:p w14:paraId="2FE8BE1A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76FFBA78" w14:textId="5AC7A515" w:rsidTr="000F3EC3">
        <w:trPr>
          <w:trHeight w:val="24"/>
        </w:trPr>
        <w:tc>
          <w:tcPr>
            <w:tcW w:w="6946" w:type="dxa"/>
          </w:tcPr>
          <w:p w14:paraId="1A242081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umożliwiać automatyczne łączenie wielu incydentów w jeden.</w:t>
            </w:r>
          </w:p>
        </w:tc>
        <w:tc>
          <w:tcPr>
            <w:tcW w:w="3254" w:type="dxa"/>
          </w:tcPr>
          <w:p w14:paraId="3814F231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0E510DBA" w14:textId="6936E29B" w:rsidTr="000F3EC3">
        <w:trPr>
          <w:trHeight w:val="24"/>
        </w:trPr>
        <w:tc>
          <w:tcPr>
            <w:tcW w:w="6946" w:type="dxa"/>
          </w:tcPr>
          <w:p w14:paraId="4BA183FB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 xml:space="preserve">System musi posiadać aplikację monitorującą charakterystykę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użytkowników (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user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behavior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analysis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>), która pozwala na ocenę ryzykownych czynności podejmowanych przez wewnętrznych użytkowników na  infrastrukturze.</w:t>
            </w:r>
          </w:p>
        </w:tc>
        <w:tc>
          <w:tcPr>
            <w:tcW w:w="3254" w:type="dxa"/>
          </w:tcPr>
          <w:p w14:paraId="79A0423A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46335606" w14:textId="1F97886D" w:rsidTr="000F3EC3">
        <w:trPr>
          <w:trHeight w:val="24"/>
        </w:trPr>
        <w:tc>
          <w:tcPr>
            <w:tcW w:w="6946" w:type="dxa"/>
          </w:tcPr>
          <w:p w14:paraId="56884E5E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Aplikacja analizująca zachowania użytkowników musi przypisywać użytkownikom tzw. punkty ryzyka i generować alarm po przekroczeniu wartości progowej sumarycznych punktów ryzyka. Wartość progowa może być ustalana statycznie (bezwzględna wartość liczbowa) lub dynamicznie (na podstawie rozkładu wartości punktów ryzyka dla całej populacji użytkowników)</w:t>
            </w:r>
          </w:p>
        </w:tc>
        <w:tc>
          <w:tcPr>
            <w:tcW w:w="3254" w:type="dxa"/>
          </w:tcPr>
          <w:p w14:paraId="13599065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2661CE1F" w14:textId="10873DCE" w:rsidTr="000F3EC3">
        <w:trPr>
          <w:trHeight w:val="24"/>
        </w:trPr>
        <w:tc>
          <w:tcPr>
            <w:tcW w:w="6946" w:type="dxa"/>
          </w:tcPr>
          <w:p w14:paraId="3A77F0E8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Aplikacja musi wyświetlać kształtowanie się poziomu ryzyka dla użytkownika w czasie</w:t>
            </w:r>
          </w:p>
        </w:tc>
        <w:tc>
          <w:tcPr>
            <w:tcW w:w="3254" w:type="dxa"/>
          </w:tcPr>
          <w:p w14:paraId="2F5ACC52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11ED4638" w14:textId="34E48231" w:rsidTr="000F3EC3">
        <w:trPr>
          <w:trHeight w:val="24"/>
        </w:trPr>
        <w:tc>
          <w:tcPr>
            <w:tcW w:w="6946" w:type="dxa"/>
          </w:tcPr>
          <w:p w14:paraId="112D4CF0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 xml:space="preserve">System analizy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użytkowników musi mieć możliwość wykorzystania uczenia maszynowego</w:t>
            </w:r>
          </w:p>
        </w:tc>
        <w:tc>
          <w:tcPr>
            <w:tcW w:w="3254" w:type="dxa"/>
          </w:tcPr>
          <w:p w14:paraId="3D6363C6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0B7C0F03" w14:textId="04FE6CA8" w:rsidTr="000F3EC3">
        <w:trPr>
          <w:trHeight w:val="24"/>
        </w:trPr>
        <w:tc>
          <w:tcPr>
            <w:tcW w:w="6946" w:type="dxa"/>
          </w:tcPr>
          <w:p w14:paraId="56AB7A34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 xml:space="preserve">Wbudowane modele uczenia maszynowego mają analizować trendy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w czasie oraz porównywać zachowanie użytkownika z grupą innych użytkowników o podobnych parametrach charakteryzujących danego użytkownika - przykładowo ulokowanie w konkretnym kontenerze Active Directory lub posiadających konkretny atrybut (np. nazwa stanowiska)</w:t>
            </w:r>
          </w:p>
        </w:tc>
        <w:tc>
          <w:tcPr>
            <w:tcW w:w="3254" w:type="dxa"/>
          </w:tcPr>
          <w:p w14:paraId="2F9B1398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2CF45946" w14:textId="0127122A" w:rsidTr="000F3EC3">
        <w:trPr>
          <w:trHeight w:val="24"/>
        </w:trPr>
        <w:tc>
          <w:tcPr>
            <w:tcW w:w="6946" w:type="dxa"/>
          </w:tcPr>
          <w:p w14:paraId="31588BB4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Użytkownik musi mieć możliwość tworzenia własnych modeli uczenia maszynowego analizujących trendy zmian wartości w czasie</w:t>
            </w:r>
          </w:p>
        </w:tc>
        <w:tc>
          <w:tcPr>
            <w:tcW w:w="3254" w:type="dxa"/>
          </w:tcPr>
          <w:p w14:paraId="52F085A9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013E8DED" w14:textId="5D25BB3F" w:rsidTr="000F3EC3">
        <w:trPr>
          <w:trHeight w:val="24"/>
        </w:trPr>
        <w:tc>
          <w:tcPr>
            <w:tcW w:w="6946" w:type="dxa"/>
          </w:tcPr>
          <w:p w14:paraId="3511A6F3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 xml:space="preserve">W przypadku braku zdefiniowanych grup użytkowników, system musi sam wykonywać grupowanie użytkowników na podstawie podobnych wzorców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</w:p>
        </w:tc>
        <w:tc>
          <w:tcPr>
            <w:tcW w:w="3254" w:type="dxa"/>
          </w:tcPr>
          <w:p w14:paraId="0B8D3F33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7CD0428D" w14:textId="22198B09" w:rsidTr="000F3EC3">
        <w:trPr>
          <w:trHeight w:val="24"/>
        </w:trPr>
        <w:tc>
          <w:tcPr>
            <w:tcW w:w="6946" w:type="dxa"/>
          </w:tcPr>
          <w:p w14:paraId="57D761D0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mieć możliwość wyspecyfikowania grup użytkowników, dla których punkty ryzyka są modyfikowane o wyspecyfikowany mnożnik</w:t>
            </w:r>
          </w:p>
        </w:tc>
        <w:tc>
          <w:tcPr>
            <w:tcW w:w="3254" w:type="dxa"/>
          </w:tcPr>
          <w:p w14:paraId="48F7AF7C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027C5AD2" w14:textId="6FCE9F0C" w:rsidTr="000F3EC3">
        <w:trPr>
          <w:trHeight w:val="24"/>
        </w:trPr>
        <w:tc>
          <w:tcPr>
            <w:tcW w:w="6946" w:type="dxa"/>
          </w:tcPr>
          <w:p w14:paraId="5C96064B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 xml:space="preserve">System musi umożliwić automatyczną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geolokalizację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źródła zagrożeń.</w:t>
            </w:r>
          </w:p>
        </w:tc>
        <w:tc>
          <w:tcPr>
            <w:tcW w:w="3254" w:type="dxa"/>
          </w:tcPr>
          <w:p w14:paraId="64B889A4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6D95FD71" w14:textId="0D13C966" w:rsidTr="000F3EC3">
        <w:trPr>
          <w:trHeight w:val="24"/>
        </w:trPr>
        <w:tc>
          <w:tcPr>
            <w:tcW w:w="6946" w:type="dxa"/>
          </w:tcPr>
          <w:p w14:paraId="77B4C928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mieć możliwość tworzenia szczegółowego logu audytowego zawierającego informacje przynajmniej o logowaniu do systemu i zmianach w jego konfiguracji</w:t>
            </w:r>
          </w:p>
        </w:tc>
        <w:tc>
          <w:tcPr>
            <w:tcW w:w="3254" w:type="dxa"/>
          </w:tcPr>
          <w:p w14:paraId="4B21FD1C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6AFB0109" w14:textId="3F8B0772" w:rsidTr="000F3EC3">
        <w:trPr>
          <w:trHeight w:val="24"/>
        </w:trPr>
        <w:tc>
          <w:tcPr>
            <w:tcW w:w="6946" w:type="dxa"/>
          </w:tcPr>
          <w:p w14:paraId="2E28B6D6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Licencja systemu SIEM oraz system SIEM nie mogą ograniczać liczby równocześnie zalogowanych użytkowników</w:t>
            </w:r>
          </w:p>
        </w:tc>
        <w:tc>
          <w:tcPr>
            <w:tcW w:w="3254" w:type="dxa"/>
          </w:tcPr>
          <w:p w14:paraId="53A963B3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1ED1EC54" w14:textId="4ED819D6" w:rsidTr="000F3EC3">
        <w:trPr>
          <w:trHeight w:val="24"/>
        </w:trPr>
        <w:tc>
          <w:tcPr>
            <w:tcW w:w="6946" w:type="dxa"/>
          </w:tcPr>
          <w:p w14:paraId="3A63B98B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 xml:space="preserve">System musi posiadać możliwość automatycznego wykrywania nowych elementów infrastruktury poprzez analizę zdarzeń i/lub ruchu sieciowego. SIEM musi wykryć pojawienie się nowego adresu IP, adresu MAC i opcjonalnie zgłosić to operatorowi. </w:t>
            </w:r>
          </w:p>
        </w:tc>
        <w:tc>
          <w:tcPr>
            <w:tcW w:w="3254" w:type="dxa"/>
          </w:tcPr>
          <w:p w14:paraId="53640AC5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79A22C46" w14:textId="4EEF4216" w:rsidTr="000F3EC3">
        <w:trPr>
          <w:trHeight w:val="24"/>
        </w:trPr>
        <w:tc>
          <w:tcPr>
            <w:tcW w:w="6946" w:type="dxa"/>
          </w:tcPr>
          <w:p w14:paraId="76641C64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posiadać możliwość automatycznego grupowania elementów infrastruktury poprzez ich cechy charakterystyczne. Przykładowo, system SIEM powinien być w stanie dokonać klasyfikacji elementów posiadających otwarte porty charakterystyczne dla baz danych jako "serwery bazodanowe"</w:t>
            </w:r>
          </w:p>
        </w:tc>
        <w:tc>
          <w:tcPr>
            <w:tcW w:w="3254" w:type="dxa"/>
          </w:tcPr>
          <w:p w14:paraId="4BC72586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7D4E5621" w14:textId="1526122C" w:rsidTr="000F3EC3">
        <w:trPr>
          <w:trHeight w:val="24"/>
        </w:trPr>
        <w:tc>
          <w:tcPr>
            <w:tcW w:w="6946" w:type="dxa"/>
          </w:tcPr>
          <w:p w14:paraId="5D8974AF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 xml:space="preserve">System musi umożliwiać tworzenie własnego schematu opisu i oznaczania (tzw.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tagowania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assetów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4" w:type="dxa"/>
          </w:tcPr>
          <w:p w14:paraId="7093EEA2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7E02E845" w14:textId="54459ADA" w:rsidTr="000F3EC3">
        <w:trPr>
          <w:trHeight w:val="24"/>
        </w:trPr>
        <w:tc>
          <w:tcPr>
            <w:tcW w:w="6946" w:type="dxa"/>
          </w:tcPr>
          <w:p w14:paraId="414B3A28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System musi umożliwiać filtrowanie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assetów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w oparciu o dowolne pole charakteryzujące dany element infrastruktury</w:t>
            </w:r>
          </w:p>
        </w:tc>
        <w:tc>
          <w:tcPr>
            <w:tcW w:w="3254" w:type="dxa"/>
          </w:tcPr>
          <w:p w14:paraId="0D526DAC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15541FAE" w14:textId="71F06D6D" w:rsidTr="000F3EC3">
        <w:trPr>
          <w:trHeight w:val="24"/>
        </w:trPr>
        <w:tc>
          <w:tcPr>
            <w:tcW w:w="6946" w:type="dxa"/>
          </w:tcPr>
          <w:p w14:paraId="509593CE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zapewniać automatyczny mechanizm aplikacji poprawek do systemu.</w:t>
            </w:r>
          </w:p>
        </w:tc>
        <w:tc>
          <w:tcPr>
            <w:tcW w:w="3254" w:type="dxa"/>
          </w:tcPr>
          <w:p w14:paraId="2FA2F2EC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335724B5" w14:textId="0FD51C8A" w:rsidTr="000F3EC3">
        <w:trPr>
          <w:trHeight w:val="24"/>
        </w:trPr>
        <w:tc>
          <w:tcPr>
            <w:tcW w:w="6946" w:type="dxa"/>
          </w:tcPr>
          <w:p w14:paraId="57500185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umożliwiać utworzenie struktury adresacji IP używanej w poszczególnych miejscach sieci i w ten sposób określić adresacje obce. Ta struktura używana jest następnie do określenia kierunków rejestrowanych zdarzeń komunikacji i przepływów</w:t>
            </w:r>
          </w:p>
        </w:tc>
        <w:tc>
          <w:tcPr>
            <w:tcW w:w="3254" w:type="dxa"/>
          </w:tcPr>
          <w:p w14:paraId="7DB4A4C2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66E0C5EF" w14:textId="5C098E2C" w:rsidTr="000F3EC3">
        <w:trPr>
          <w:trHeight w:val="24"/>
        </w:trPr>
        <w:tc>
          <w:tcPr>
            <w:tcW w:w="6946" w:type="dxa"/>
          </w:tcPr>
          <w:p w14:paraId="312801FB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umożliwić konfigurację serwera poczty, przez który wysyłane są wiadomości pocztowe. Musi być możliwość konfiguracji innych serwerów poczty dla różnych serwerów przetwarzających zdarzenia i przepływy.</w:t>
            </w:r>
          </w:p>
        </w:tc>
        <w:tc>
          <w:tcPr>
            <w:tcW w:w="3254" w:type="dxa"/>
          </w:tcPr>
          <w:p w14:paraId="75A00DF7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6BA7B023" w14:textId="0DC4EB5A" w:rsidTr="000F3EC3">
        <w:trPr>
          <w:trHeight w:val="24"/>
        </w:trPr>
        <w:tc>
          <w:tcPr>
            <w:tcW w:w="6946" w:type="dxa"/>
          </w:tcPr>
          <w:p w14:paraId="5816542A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pozwala na integrację z systemami zarządzania podatnościami  w celu uzupełnienia informacji o zasobach o bardziej szczegółowe dane.</w:t>
            </w:r>
          </w:p>
        </w:tc>
        <w:tc>
          <w:tcPr>
            <w:tcW w:w="3254" w:type="dxa"/>
          </w:tcPr>
          <w:p w14:paraId="56859337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48D1A83A" w14:textId="22005269" w:rsidTr="000F3EC3">
        <w:trPr>
          <w:trHeight w:val="24"/>
        </w:trPr>
        <w:tc>
          <w:tcPr>
            <w:tcW w:w="6946" w:type="dxa"/>
          </w:tcPr>
          <w:p w14:paraId="1B1D299A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 xml:space="preserve">System  pozwala na integrację z co najmniej tymi systemami zarządzania podatnościami: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eEye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BigFix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Juniper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NSM,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nmap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Qualys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, Rapid7,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Tenable</w:t>
            </w:r>
            <w:proofErr w:type="spellEnd"/>
          </w:p>
        </w:tc>
        <w:tc>
          <w:tcPr>
            <w:tcW w:w="3254" w:type="dxa"/>
          </w:tcPr>
          <w:p w14:paraId="0166538D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6FED7FCA" w14:textId="21620554" w:rsidTr="000F3EC3">
        <w:trPr>
          <w:trHeight w:val="24"/>
        </w:trPr>
        <w:tc>
          <w:tcPr>
            <w:tcW w:w="6946" w:type="dxa"/>
          </w:tcPr>
          <w:p w14:paraId="2E2F8426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posiadać własną bazę reputacji IP</w:t>
            </w:r>
          </w:p>
        </w:tc>
        <w:tc>
          <w:tcPr>
            <w:tcW w:w="3254" w:type="dxa"/>
          </w:tcPr>
          <w:p w14:paraId="48733464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60326A34" w14:textId="32EB674D" w:rsidTr="000F3EC3">
        <w:trPr>
          <w:trHeight w:val="24"/>
        </w:trPr>
        <w:tc>
          <w:tcPr>
            <w:tcW w:w="6946" w:type="dxa"/>
          </w:tcPr>
          <w:p w14:paraId="054C6E5C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posiadać możliwość przeprowadzenia korelacji historycznej, czyli symulacji działania reguły dla zdarzeń historycznych</w:t>
            </w:r>
          </w:p>
        </w:tc>
        <w:tc>
          <w:tcPr>
            <w:tcW w:w="3254" w:type="dxa"/>
          </w:tcPr>
          <w:p w14:paraId="0BE6BC28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5BF69624" w14:textId="6377C32C" w:rsidTr="000F3EC3">
        <w:trPr>
          <w:trHeight w:val="24"/>
        </w:trPr>
        <w:tc>
          <w:tcPr>
            <w:tcW w:w="6946" w:type="dxa"/>
          </w:tcPr>
          <w:p w14:paraId="0921423B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posiadać udokumentowany interfejs API</w:t>
            </w:r>
          </w:p>
        </w:tc>
        <w:tc>
          <w:tcPr>
            <w:tcW w:w="3254" w:type="dxa"/>
          </w:tcPr>
          <w:p w14:paraId="04875BA2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549D0FAB" w14:textId="4372229E" w:rsidTr="000F3EC3">
        <w:trPr>
          <w:trHeight w:val="24"/>
        </w:trPr>
        <w:tc>
          <w:tcPr>
            <w:tcW w:w="6946" w:type="dxa"/>
          </w:tcPr>
          <w:p w14:paraId="1DEAD293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posiadać narzędzie graficzne umożliwiające testowanie różnych zapytań API i weryfikację otrzymywanych danych</w:t>
            </w:r>
          </w:p>
        </w:tc>
        <w:tc>
          <w:tcPr>
            <w:tcW w:w="3254" w:type="dxa"/>
          </w:tcPr>
          <w:p w14:paraId="0CA6D195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42320ECA" w14:textId="4560CF6A" w:rsidTr="000F3EC3">
        <w:trPr>
          <w:trHeight w:val="24"/>
        </w:trPr>
        <w:tc>
          <w:tcPr>
            <w:tcW w:w="6946" w:type="dxa"/>
          </w:tcPr>
          <w:p w14:paraId="286EEACA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umożliwiać rozdzielenie plików bazy danych na wiele "domen", z możliwością tworzenia oddzielnych reguł korelacyjnych dla domen</w:t>
            </w:r>
          </w:p>
        </w:tc>
        <w:tc>
          <w:tcPr>
            <w:tcW w:w="3254" w:type="dxa"/>
          </w:tcPr>
          <w:p w14:paraId="2E01E861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4094F686" w14:textId="7ED64D7A" w:rsidTr="000F3EC3">
        <w:trPr>
          <w:trHeight w:val="24"/>
        </w:trPr>
        <w:tc>
          <w:tcPr>
            <w:tcW w:w="6946" w:type="dxa"/>
          </w:tcPr>
          <w:p w14:paraId="156E3932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Licencja nie może bezpośrednio ograniczać wielkości przetwarzanych danych w bajtach.</w:t>
            </w:r>
          </w:p>
        </w:tc>
        <w:tc>
          <w:tcPr>
            <w:tcW w:w="3254" w:type="dxa"/>
          </w:tcPr>
          <w:p w14:paraId="7E67480A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13B06877" w14:textId="3E532883" w:rsidTr="000F3EC3">
        <w:trPr>
          <w:trHeight w:val="24"/>
        </w:trPr>
        <w:tc>
          <w:tcPr>
            <w:tcW w:w="6946" w:type="dxa"/>
          </w:tcPr>
          <w:p w14:paraId="2DC257D6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 xml:space="preserve">System musi umożliwiać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obfuskację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(ukrywanie) danych wrażliwych zdarzeń i przepływów przed operatorem</w:t>
            </w:r>
          </w:p>
        </w:tc>
        <w:tc>
          <w:tcPr>
            <w:tcW w:w="3254" w:type="dxa"/>
          </w:tcPr>
          <w:p w14:paraId="1745F27F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4662F0D1" w14:textId="0F846F00" w:rsidTr="000F3EC3">
        <w:trPr>
          <w:trHeight w:val="24"/>
        </w:trPr>
        <w:tc>
          <w:tcPr>
            <w:tcW w:w="6946" w:type="dxa"/>
          </w:tcPr>
          <w:p w14:paraId="71A447C9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 xml:space="preserve">System musi umożliwiać kontrolę integralności bazy danych przez zastosowanie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hashowania</w:t>
            </w:r>
            <w:proofErr w:type="spellEnd"/>
          </w:p>
        </w:tc>
        <w:tc>
          <w:tcPr>
            <w:tcW w:w="3254" w:type="dxa"/>
          </w:tcPr>
          <w:p w14:paraId="66A31BFA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6628CEE0" w14:textId="7587962D" w:rsidTr="000F3EC3">
        <w:trPr>
          <w:trHeight w:val="24"/>
        </w:trPr>
        <w:tc>
          <w:tcPr>
            <w:tcW w:w="6946" w:type="dxa"/>
          </w:tcPr>
          <w:p w14:paraId="5CBD5312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Producent systemu musi udostępniać zestawy dodatkowych reguł, ponad podstawowy zbiór reguł dostępny w produkcie po instalacji</w:t>
            </w:r>
          </w:p>
        </w:tc>
        <w:tc>
          <w:tcPr>
            <w:tcW w:w="3254" w:type="dxa"/>
          </w:tcPr>
          <w:p w14:paraId="6D992133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6988CEE8" w14:textId="5E71EBFF" w:rsidTr="000F3EC3">
        <w:trPr>
          <w:trHeight w:val="24"/>
        </w:trPr>
        <w:tc>
          <w:tcPr>
            <w:tcW w:w="6946" w:type="dxa"/>
          </w:tcPr>
          <w:p w14:paraId="46955273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 xml:space="preserve">System musi tworzyć indeks słów znajdujących się w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payloadzie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>, w celu szybszego wyszukiwania zdarzeń.</w:t>
            </w:r>
          </w:p>
        </w:tc>
        <w:tc>
          <w:tcPr>
            <w:tcW w:w="3254" w:type="dxa"/>
          </w:tcPr>
          <w:p w14:paraId="5377716C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1CEF8850" w14:textId="35E7DE41" w:rsidTr="000F3EC3">
        <w:trPr>
          <w:trHeight w:val="24"/>
        </w:trPr>
        <w:tc>
          <w:tcPr>
            <w:tcW w:w="6946" w:type="dxa"/>
          </w:tcPr>
          <w:p w14:paraId="40767EE9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 xml:space="preserve">System musi umożliwiać detekcję nadużycia protokołu DNS typu: DGA,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squatting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>, tunelowanie</w:t>
            </w:r>
          </w:p>
        </w:tc>
        <w:tc>
          <w:tcPr>
            <w:tcW w:w="3254" w:type="dxa"/>
          </w:tcPr>
          <w:p w14:paraId="1B4646E5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27AFD568" w14:textId="74BA887D" w:rsidTr="000F3EC3">
        <w:trPr>
          <w:trHeight w:val="24"/>
        </w:trPr>
        <w:tc>
          <w:tcPr>
            <w:tcW w:w="6946" w:type="dxa"/>
          </w:tcPr>
          <w:p w14:paraId="2C4D2C78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umożliwiać tworzenie aplikacji osadzanych w interfejsie graficznym systemu</w:t>
            </w:r>
          </w:p>
        </w:tc>
        <w:tc>
          <w:tcPr>
            <w:tcW w:w="3254" w:type="dxa"/>
          </w:tcPr>
          <w:p w14:paraId="331306D7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0DE3DC3C" w14:textId="7B94B1D7" w:rsidTr="000F3EC3">
        <w:trPr>
          <w:trHeight w:val="24"/>
        </w:trPr>
        <w:tc>
          <w:tcPr>
            <w:tcW w:w="6946" w:type="dxa"/>
          </w:tcPr>
          <w:p w14:paraId="1F9ABA25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 xml:space="preserve">System musi mieć możliwość blokowania użytkownikom wykonywanie zapytań które mogą trwać zbyt długo lub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wyszukiwań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>, które będą zwracały dużą ilość danych wpływających negatywnie na wydajność systemu. Takie polityki muszą mieć możliwość definiowania na poziomie użytkownika, roli lub tematów.</w:t>
            </w:r>
          </w:p>
        </w:tc>
        <w:tc>
          <w:tcPr>
            <w:tcW w:w="3254" w:type="dxa"/>
          </w:tcPr>
          <w:p w14:paraId="12778F20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70CE89DF" w14:textId="335F6C7D" w:rsidTr="000F3EC3">
        <w:trPr>
          <w:trHeight w:val="24"/>
        </w:trPr>
        <w:tc>
          <w:tcPr>
            <w:tcW w:w="6946" w:type="dxa"/>
          </w:tcPr>
          <w:p w14:paraId="7984A583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oprócz podstawowego interfejsu przeglądania danych  z funkcjonalnością administracyjną musi mieć dodatkowo odseparowany interfejs przeznaczony do pracy dla operatorów SOC. Interfejs musi być pozbawiony funkcjonalności administracyjnych i skoncentrowany na analizie incydentów bezpieczeństwa.</w:t>
            </w:r>
          </w:p>
        </w:tc>
        <w:tc>
          <w:tcPr>
            <w:tcW w:w="3254" w:type="dxa"/>
          </w:tcPr>
          <w:p w14:paraId="6ED1C2F0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241F7459" w14:textId="2C07374D" w:rsidTr="000F3EC3">
        <w:trPr>
          <w:trHeight w:val="24"/>
        </w:trPr>
        <w:tc>
          <w:tcPr>
            <w:tcW w:w="6946" w:type="dxa"/>
          </w:tcPr>
          <w:p w14:paraId="3E8C36CF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 xml:space="preserve">System musi zawierać funkcjonalność wsparcia przy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tuningu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reguł. System ma raportować reguły które najczęściej inicjują incydenty bezpieczeństwa oraz reguły które są najmniej efektywne.</w:t>
            </w:r>
          </w:p>
        </w:tc>
        <w:tc>
          <w:tcPr>
            <w:tcW w:w="3254" w:type="dxa"/>
          </w:tcPr>
          <w:p w14:paraId="2BE144E3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766C2068" w14:textId="33F22F95" w:rsidTr="000F3EC3">
        <w:trPr>
          <w:trHeight w:val="24"/>
        </w:trPr>
        <w:tc>
          <w:tcPr>
            <w:tcW w:w="6946" w:type="dxa"/>
          </w:tcPr>
          <w:p w14:paraId="65BF494E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automatycznie informować o nowych dodatkowych funkcjonalnościach dostępnych do ściągnięcia z dedykowanego repozytorium aplikacji.</w:t>
            </w:r>
          </w:p>
        </w:tc>
        <w:tc>
          <w:tcPr>
            <w:tcW w:w="3254" w:type="dxa"/>
          </w:tcPr>
          <w:p w14:paraId="6D1830C8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5EB6D30F" w14:textId="4E725463" w:rsidTr="000F3EC3">
        <w:trPr>
          <w:trHeight w:val="24"/>
        </w:trPr>
        <w:tc>
          <w:tcPr>
            <w:tcW w:w="6946" w:type="dxa"/>
          </w:tcPr>
          <w:p w14:paraId="2D242547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System musi zawierać dedykowany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dashboard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który prezentuje przydatne artykuły, wiadomości, przypadku użycia, podcasty oraz odnośniki do szkoleń. Zawartość musi być dostosowana automatycznie do charakterystyki obsługiwanej infrastruktury</w:t>
            </w:r>
          </w:p>
        </w:tc>
        <w:tc>
          <w:tcPr>
            <w:tcW w:w="3254" w:type="dxa"/>
          </w:tcPr>
          <w:p w14:paraId="131C3D3F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71494C4D" w14:textId="388CA82C" w:rsidTr="000F3EC3">
        <w:trPr>
          <w:trHeight w:val="24"/>
        </w:trPr>
        <w:tc>
          <w:tcPr>
            <w:tcW w:w="6946" w:type="dxa"/>
          </w:tcPr>
          <w:p w14:paraId="26CBBE1E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umożliwiać wykorzystanie tzw. zapytań federacyjnych do różnych niezależnych instancji systemów SIEM w oparciu o format STIX</w:t>
            </w:r>
          </w:p>
        </w:tc>
        <w:tc>
          <w:tcPr>
            <w:tcW w:w="3254" w:type="dxa"/>
          </w:tcPr>
          <w:p w14:paraId="071C7C60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5BBAB72A" w14:textId="75F41BB0" w:rsidTr="000F3EC3">
        <w:trPr>
          <w:trHeight w:val="24"/>
        </w:trPr>
        <w:tc>
          <w:tcPr>
            <w:tcW w:w="6946" w:type="dxa"/>
          </w:tcPr>
          <w:p w14:paraId="24012A26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umożliwiać prostą integrację z systemem klasy SOAR bez konieczności prowadzenia prac integracyjnych - przykładowo za pomocą gotowej aplikacji</w:t>
            </w:r>
          </w:p>
        </w:tc>
        <w:tc>
          <w:tcPr>
            <w:tcW w:w="3254" w:type="dxa"/>
          </w:tcPr>
          <w:p w14:paraId="30D72361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31E9BD3A" w14:textId="48A0EB40" w:rsidTr="000F3EC3">
        <w:trPr>
          <w:trHeight w:val="24"/>
        </w:trPr>
        <w:tc>
          <w:tcPr>
            <w:tcW w:w="6946" w:type="dxa"/>
          </w:tcPr>
          <w:p w14:paraId="2511AB6A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Licencje na system nie mogą być dostarczane w modelu subskrypcyjnym (ograniczone czasowo)</w:t>
            </w:r>
          </w:p>
        </w:tc>
        <w:tc>
          <w:tcPr>
            <w:tcW w:w="3254" w:type="dxa"/>
          </w:tcPr>
          <w:p w14:paraId="606DD28F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673732B4" w14:textId="06AF9AE5" w:rsidTr="000F3EC3">
        <w:trPr>
          <w:trHeight w:val="24"/>
        </w:trPr>
        <w:tc>
          <w:tcPr>
            <w:tcW w:w="6946" w:type="dxa"/>
          </w:tcPr>
          <w:p w14:paraId="6F0D2AFE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Dodanie do system kolejnego komponentu analizującego/przechowującego zdarzenia/przepływy nie może wymagać dokupienia dodatkowej licencji</w:t>
            </w:r>
          </w:p>
        </w:tc>
        <w:tc>
          <w:tcPr>
            <w:tcW w:w="3254" w:type="dxa"/>
          </w:tcPr>
          <w:p w14:paraId="19D5F565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7E91DEE4" w14:textId="1AF0517F" w:rsidTr="000F3EC3">
        <w:trPr>
          <w:trHeight w:val="24"/>
        </w:trPr>
        <w:tc>
          <w:tcPr>
            <w:tcW w:w="6946" w:type="dxa"/>
          </w:tcPr>
          <w:p w14:paraId="4BA11AE7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 xml:space="preserve">Utworzenie </w:t>
            </w:r>
            <w:proofErr w:type="spellStart"/>
            <w:r w:rsidRPr="0065350D">
              <w:rPr>
                <w:rFonts w:ascii="Times New Roman" w:hAnsi="Times New Roman"/>
                <w:sz w:val="20"/>
                <w:szCs w:val="20"/>
              </w:rPr>
              <w:t>clustra</w:t>
            </w:r>
            <w:proofErr w:type="spellEnd"/>
            <w:r w:rsidRPr="0065350D">
              <w:rPr>
                <w:rFonts w:ascii="Times New Roman" w:hAnsi="Times New Roman"/>
                <w:sz w:val="20"/>
                <w:szCs w:val="20"/>
              </w:rPr>
              <w:t xml:space="preserve"> HA komponentu poprzez dodanie serwera zapasowego nie może wymagać dokupienia dodatkowej licencji</w:t>
            </w:r>
          </w:p>
        </w:tc>
        <w:tc>
          <w:tcPr>
            <w:tcW w:w="3254" w:type="dxa"/>
          </w:tcPr>
          <w:p w14:paraId="10733009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2BD55620" w14:textId="3C11B2BE" w:rsidTr="000F3EC3">
        <w:trPr>
          <w:trHeight w:val="24"/>
        </w:trPr>
        <w:tc>
          <w:tcPr>
            <w:tcW w:w="6946" w:type="dxa"/>
          </w:tcPr>
          <w:p w14:paraId="3D20BBE7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znajdować się w "ćwiartce liderów" w najnowszym opracowaniu tzw. magicznego kwadratu systemów SIEM wg. Gartnera.</w:t>
            </w:r>
          </w:p>
        </w:tc>
        <w:tc>
          <w:tcPr>
            <w:tcW w:w="3254" w:type="dxa"/>
          </w:tcPr>
          <w:p w14:paraId="0E02EB68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20EDA178" w14:textId="377AD4AC" w:rsidTr="000F3EC3">
        <w:trPr>
          <w:trHeight w:val="24"/>
        </w:trPr>
        <w:tc>
          <w:tcPr>
            <w:tcW w:w="6946" w:type="dxa"/>
          </w:tcPr>
          <w:p w14:paraId="3255CEDC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Zwiększenie strumienia FPM (przepływów na minutę) monitorowanego przez SIEM nie może wymagać dokupienia dodatkowej licencji.</w:t>
            </w:r>
          </w:p>
        </w:tc>
        <w:tc>
          <w:tcPr>
            <w:tcW w:w="3254" w:type="dxa"/>
          </w:tcPr>
          <w:p w14:paraId="7E3DA525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6FAA7D29" w14:textId="6E759B52" w:rsidTr="000F3EC3">
        <w:trPr>
          <w:trHeight w:val="24"/>
        </w:trPr>
        <w:tc>
          <w:tcPr>
            <w:tcW w:w="6946" w:type="dxa"/>
          </w:tcPr>
          <w:p w14:paraId="57584060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umożliwiać analizę ryzyka poprzez identyfikację (Automatyczne wykrywanie potencjalnych zagrożeń na podstawie danych z różnych źródeł, Możliwość definiowania i dostosowywania kryteriów oceny ryzyka zgodnie z wymaganiami organizacji).</w:t>
            </w:r>
          </w:p>
        </w:tc>
        <w:tc>
          <w:tcPr>
            <w:tcW w:w="3254" w:type="dxa"/>
          </w:tcPr>
          <w:p w14:paraId="30D48669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15F30EE8" w14:textId="1F8D602B" w:rsidTr="000F3EC3">
        <w:trPr>
          <w:trHeight w:val="24"/>
        </w:trPr>
        <w:tc>
          <w:tcPr>
            <w:tcW w:w="6946" w:type="dxa"/>
          </w:tcPr>
          <w:p w14:paraId="7A908960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umożliwiać wizualizację najbardziej krytycznych obszarów ryzyka w widoku siatki na podstawie prawdopodobieństwa wystąpienia ryzyka i jego wpływu na działalność.</w:t>
            </w:r>
          </w:p>
        </w:tc>
        <w:tc>
          <w:tcPr>
            <w:tcW w:w="3254" w:type="dxa"/>
          </w:tcPr>
          <w:p w14:paraId="0DAF14C3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24D9AD30" w14:textId="677C5777" w:rsidTr="000F3EC3">
        <w:trPr>
          <w:trHeight w:val="24"/>
        </w:trPr>
        <w:tc>
          <w:tcPr>
            <w:tcW w:w="6946" w:type="dxa"/>
          </w:tcPr>
          <w:p w14:paraId="288F8478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musi umożliwiać wizualizację potencjalnych wskaźników ryzyka z różnych wektorów, takich jak dane, infrastruktura i tożsamość.</w:t>
            </w:r>
          </w:p>
        </w:tc>
        <w:tc>
          <w:tcPr>
            <w:tcW w:w="3254" w:type="dxa"/>
          </w:tcPr>
          <w:p w14:paraId="28345B3B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1DA9B740" w14:textId="512A7C89" w:rsidTr="000F3EC3">
        <w:trPr>
          <w:trHeight w:val="24"/>
        </w:trPr>
        <w:tc>
          <w:tcPr>
            <w:tcW w:w="6946" w:type="dxa"/>
          </w:tcPr>
          <w:p w14:paraId="4DD5C9C0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System w ramach analizy ryzyka musi ciągle monitorować ryzyka i generować alerty w przypadku wykrycia anomalii.</w:t>
            </w:r>
          </w:p>
        </w:tc>
        <w:tc>
          <w:tcPr>
            <w:tcW w:w="3254" w:type="dxa"/>
          </w:tcPr>
          <w:p w14:paraId="65F86CA2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60B04135" w14:textId="665D2D02" w:rsidTr="000F3EC3">
        <w:trPr>
          <w:trHeight w:val="24"/>
        </w:trPr>
        <w:tc>
          <w:tcPr>
            <w:tcW w:w="6946" w:type="dxa"/>
          </w:tcPr>
          <w:p w14:paraId="12E7C654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Zamawiający wymaga, aby w ramach prac Wykonawca zainstalował wymagane maszyny w środowisku Zamawiającego, przygotował integrację z MS AD w zakresie użytkowników i grup oraz integrację w zakresie pobierania logów z serwerów.</w:t>
            </w:r>
          </w:p>
        </w:tc>
        <w:tc>
          <w:tcPr>
            <w:tcW w:w="3254" w:type="dxa"/>
          </w:tcPr>
          <w:p w14:paraId="1F949F43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EC3" w:rsidRPr="0065350D" w14:paraId="11DDE9DC" w14:textId="5B588733" w:rsidTr="000F3EC3">
        <w:trPr>
          <w:trHeight w:val="24"/>
        </w:trPr>
        <w:tc>
          <w:tcPr>
            <w:tcW w:w="6946" w:type="dxa"/>
          </w:tcPr>
          <w:p w14:paraId="64C26D09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350D">
              <w:rPr>
                <w:rFonts w:ascii="Times New Roman" w:hAnsi="Times New Roman"/>
                <w:sz w:val="20"/>
                <w:szCs w:val="20"/>
              </w:rPr>
              <w:t>Dokumentacja Powykonawcza musi być dostarczona w wersji elektronicznej i napisana w języku polskim. Procedury i instrukcje Producenta mogą być dostarczone w języku angielskim lub polskim.</w:t>
            </w:r>
          </w:p>
        </w:tc>
        <w:tc>
          <w:tcPr>
            <w:tcW w:w="3254" w:type="dxa"/>
          </w:tcPr>
          <w:p w14:paraId="6E47A83C" w14:textId="77777777" w:rsidR="000F3EC3" w:rsidRPr="0065350D" w:rsidRDefault="000F3EC3" w:rsidP="00ED5489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Style w:val="Tabela-Siatka"/>
        <w:tblW w:w="10200" w:type="dxa"/>
        <w:tblInd w:w="-572" w:type="dxa"/>
        <w:tblLook w:val="04A0" w:firstRow="1" w:lastRow="0" w:firstColumn="1" w:lastColumn="0" w:noHBand="0" w:noVBand="1"/>
      </w:tblPr>
      <w:tblGrid>
        <w:gridCol w:w="6946"/>
        <w:gridCol w:w="3254"/>
      </w:tblGrid>
      <w:tr w:rsidR="00431BCF" w:rsidRPr="0065350D" w14:paraId="7129F94F" w14:textId="27FBEB46" w:rsidTr="00431BCF">
        <w:trPr>
          <w:trHeight w:val="217"/>
        </w:trPr>
        <w:tc>
          <w:tcPr>
            <w:tcW w:w="6946" w:type="dxa"/>
          </w:tcPr>
          <w:p w14:paraId="5D53C142" w14:textId="64F0C988" w:rsidR="00431BCF" w:rsidRPr="0065350D" w:rsidRDefault="00695251" w:rsidP="00862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50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4611F0" w:rsidRPr="0065350D">
              <w:rPr>
                <w:rFonts w:ascii="Times New Roman" w:hAnsi="Times New Roman" w:cs="Times New Roman"/>
                <w:sz w:val="20"/>
                <w:szCs w:val="20"/>
              </w:rPr>
              <w:t xml:space="preserve">pisane powyżej wymagania </w:t>
            </w:r>
            <w:r w:rsidRPr="0065350D">
              <w:rPr>
                <w:rFonts w:ascii="Times New Roman" w:hAnsi="Times New Roman" w:cs="Times New Roman"/>
                <w:sz w:val="20"/>
                <w:szCs w:val="20"/>
              </w:rPr>
              <w:t>zostaną</w:t>
            </w:r>
            <w:r w:rsidR="004611F0" w:rsidRPr="0065350D">
              <w:rPr>
                <w:rFonts w:ascii="Times New Roman" w:hAnsi="Times New Roman" w:cs="Times New Roman"/>
                <w:sz w:val="20"/>
                <w:szCs w:val="20"/>
              </w:rPr>
              <w:t xml:space="preserve"> dostarczone jako wbudowana </w:t>
            </w:r>
            <w:r w:rsidR="004611F0" w:rsidRPr="006535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funkcjonalność produktu lub jako dodatkowe moduły oficjalnie dostarczane przez producenta w repozytorium aplikacji, a nie jako funkcjonalność dodana w ramach dodatkowych prac konfiguracyjnych i integracyjnych</w:t>
            </w:r>
          </w:p>
        </w:tc>
        <w:tc>
          <w:tcPr>
            <w:tcW w:w="3254" w:type="dxa"/>
          </w:tcPr>
          <w:p w14:paraId="067D947B" w14:textId="77777777" w:rsidR="00431BCF" w:rsidRPr="0065350D" w:rsidRDefault="00431BCF" w:rsidP="00431BCF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F081EF" w14:textId="77777777" w:rsidR="008313E7" w:rsidRPr="004C236C" w:rsidRDefault="008313E7" w:rsidP="004771D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808310" w14:textId="1E37EF5B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 xml:space="preserve">Oświadczam, że zapoznałem się z treścią zapytania ofertowego oraz że nie wnoszę zastrzeżeń do jego treści i zdobyłem wszelkie informacje niezbędne do sporządzenia oferty </w:t>
      </w:r>
      <w:r w:rsidRPr="008670EB">
        <w:rPr>
          <w:rFonts w:ascii="Times New Roman" w:hAnsi="Times New Roman" w:cs="Times New Roman"/>
          <w:sz w:val="22"/>
          <w:szCs w:val="22"/>
          <w:lang w:eastAsia="en-GB"/>
        </w:rPr>
        <w:t>i wykonania zamówienia.</w:t>
      </w:r>
      <w:r w:rsidR="00413041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  <w:r w:rsidR="00BD1438">
        <w:rPr>
          <w:rFonts w:ascii="Times New Roman" w:hAnsi="Times New Roman" w:cs="Times New Roman"/>
          <w:sz w:val="22"/>
          <w:szCs w:val="22"/>
          <w:lang w:eastAsia="en-GB"/>
        </w:rPr>
        <w:t>Złożona oferta spełnia wszelkie parametry i warunki zapytania ofertowego.</w:t>
      </w:r>
    </w:p>
    <w:p w14:paraId="4230B349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>Oświadczam, że akceptuję termin związania ofertą wynoszący 30 dni od dnia upływu terminu składania ofert, przy czym pierwszym dniem terminu związania ofertą jest dzień, w którym upływa termin składania ofert.</w:t>
      </w:r>
    </w:p>
    <w:p w14:paraId="615AD361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Zobowiązuje się wykonać zamówienie w terminach wskazanych w Zapytaniu ofertowym,</w:t>
      </w:r>
    </w:p>
    <w:p w14:paraId="746C2499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 xml:space="preserve">W przypadku wyboru mojej oferty zobowiązuję się do zawarcia umowy na wykonanie przedmiotu zamówienia </w:t>
      </w:r>
      <w:r w:rsidRPr="008670EB">
        <w:rPr>
          <w:rFonts w:ascii="Times New Roman" w:hAnsi="Times New Roman" w:cs="Times New Roman"/>
          <w:sz w:val="22"/>
          <w:szCs w:val="22"/>
          <w:lang w:eastAsia="en-GB"/>
        </w:rPr>
        <w:t>w miejscu i terminie wskazanym przez Zamawiającego.</w:t>
      </w:r>
      <w:r w:rsidRPr="008670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C50527" w14:textId="1B97D5FB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Umowa będzie opiewać na kwotę brutto</w:t>
      </w:r>
      <w:r w:rsidR="008670EB" w:rsidRPr="008670EB">
        <w:rPr>
          <w:rFonts w:ascii="Times New Roman" w:hAnsi="Times New Roman" w:cs="Times New Roman"/>
          <w:sz w:val="22"/>
          <w:szCs w:val="22"/>
          <w:lang w:eastAsia="en-GB"/>
        </w:rPr>
        <w:t>.</w:t>
      </w:r>
    </w:p>
    <w:p w14:paraId="6863A7DF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lastRenderedPageBreak/>
        <w:t>Znajduję się w sytuacji ekonomicznej i finansowej zapewniającej wykonanie zamówienia.</w:t>
      </w:r>
    </w:p>
    <w:p w14:paraId="522BF5D8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Posiadam wiedzę i doświadczenie niezbędne do realizacji przedmiotu zamówienia.</w:t>
      </w:r>
    </w:p>
    <w:p w14:paraId="7B834585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Wyrażam zgodę na przetwarzanie przez Zamawiającego danych osobowych na potrzeby realizacji niniejszego postępowania zgodnie z art. 23 ustawy z dnia 29 sierpnia 1997 r. o ochronie danych osobowych (Dz. U. z 2014 r. poz. 1182 ze zm.) do celów związanych z przeprowadzeniem niniejszego postępowania. Moja zgoda obejmuje również przetwarzanie danych w przyszłości pod warunkiem, że nie zostanie zmieniony cel przetwarzania.</w:t>
      </w:r>
    </w:p>
    <w:p w14:paraId="760EE84A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 w14:paraId="34F24B28" w14:textId="77777777" w:rsidR="00767DCD" w:rsidRPr="00DB72E7" w:rsidRDefault="00767DCD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6251B5" w14:textId="77777777" w:rsidR="00767DCD" w:rsidRDefault="00767DCD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25BB8B6" w14:textId="77777777" w:rsidR="00A632CF" w:rsidRDefault="00A632CF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75544E05" w14:textId="77777777" w:rsidR="00A632CF" w:rsidRDefault="00A632CF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5EC6B3E" w14:textId="77777777" w:rsidR="00A632CF" w:rsidRPr="00DB72E7" w:rsidRDefault="00A632CF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78B285E" w14:textId="77777777" w:rsidR="00E35AF1" w:rsidRPr="00DB72E7" w:rsidRDefault="00E35AF1" w:rsidP="00E35AF1">
      <w:pPr>
        <w:pStyle w:val="Default"/>
        <w:ind w:left="2832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B72E7">
        <w:rPr>
          <w:rFonts w:ascii="Times New Roman" w:hAnsi="Times New Roman" w:cs="Times New Roman"/>
          <w:color w:val="auto"/>
          <w:sz w:val="22"/>
          <w:szCs w:val="22"/>
        </w:rPr>
        <w:t>………….……………………………</w:t>
      </w:r>
    </w:p>
    <w:p w14:paraId="00985599" w14:textId="77777777" w:rsidR="00E35AF1" w:rsidRPr="00DB72E7" w:rsidRDefault="00E35AF1" w:rsidP="00E35AF1">
      <w:pPr>
        <w:pStyle w:val="Default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DB72E7">
        <w:rPr>
          <w:rFonts w:ascii="Times New Roman" w:hAnsi="Times New Roman" w:cs="Times New Roman"/>
          <w:color w:val="auto"/>
          <w:sz w:val="22"/>
          <w:szCs w:val="22"/>
        </w:rPr>
        <w:t>Czytelny podpis osoby uprawnionej do reprezentowania podmiotu</w:t>
      </w:r>
    </w:p>
    <w:p w14:paraId="16A491F6" w14:textId="77777777" w:rsidR="00767DCD" w:rsidRPr="00DB72E7" w:rsidRDefault="00767DCD" w:rsidP="00767DCD">
      <w:pPr>
        <w:ind w:left="720"/>
        <w:contextualSpacing/>
        <w:rPr>
          <w:rFonts w:ascii="Times New Roman" w:hAnsi="Times New Roman" w:cs="Times New Roman"/>
          <w:sz w:val="22"/>
          <w:szCs w:val="22"/>
        </w:rPr>
      </w:pPr>
    </w:p>
    <w:p w14:paraId="1F99CD93" w14:textId="77777777" w:rsidR="00767DCD" w:rsidRPr="00DB72E7" w:rsidRDefault="00767DCD" w:rsidP="002D5CA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72E7">
        <w:rPr>
          <w:rFonts w:ascii="Times New Roman" w:hAnsi="Times New Roman" w:cs="Times New Roman"/>
          <w:sz w:val="22"/>
          <w:szCs w:val="22"/>
        </w:rPr>
        <w:t>Załączniki:</w:t>
      </w:r>
    </w:p>
    <w:p w14:paraId="43006621" w14:textId="38191CEF" w:rsidR="00D0217D" w:rsidRPr="00DB72E7" w:rsidRDefault="00BD17FE" w:rsidP="00C6195B">
      <w:pPr>
        <w:pStyle w:val="Akapitzlist"/>
        <w:numPr>
          <w:ilvl w:val="0"/>
          <w:numId w:val="2"/>
        </w:numPr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DB72E7">
        <w:rPr>
          <w:rFonts w:ascii="Times New Roman" w:hAnsi="Times New Roman" w:cs="Times New Roman"/>
          <w:sz w:val="22"/>
          <w:szCs w:val="22"/>
        </w:rPr>
        <w:t>Z</w:t>
      </w:r>
      <w:r w:rsidR="00D0217D" w:rsidRPr="00DB72E7">
        <w:rPr>
          <w:rFonts w:ascii="Times New Roman" w:hAnsi="Times New Roman" w:cs="Times New Roman"/>
          <w:sz w:val="22"/>
          <w:szCs w:val="22"/>
        </w:rPr>
        <w:t>ałącznik nr 2 – oświadczenie Wykonawcy – warunki udziału w postępowaniu</w:t>
      </w:r>
    </w:p>
    <w:p w14:paraId="4A864E49" w14:textId="2B486DE7" w:rsidR="00767DCD" w:rsidRDefault="00BD17FE" w:rsidP="00C6195B">
      <w:pPr>
        <w:pStyle w:val="Akapitzlist"/>
        <w:numPr>
          <w:ilvl w:val="0"/>
          <w:numId w:val="2"/>
        </w:numPr>
        <w:spacing w:before="240" w:after="240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DB72E7">
        <w:rPr>
          <w:rFonts w:ascii="Times New Roman" w:hAnsi="Times New Roman" w:cs="Times New Roman"/>
          <w:sz w:val="22"/>
          <w:szCs w:val="22"/>
        </w:rPr>
        <w:t>Z</w:t>
      </w:r>
      <w:r w:rsidR="00D0217D" w:rsidRPr="00DB72E7">
        <w:rPr>
          <w:rFonts w:ascii="Times New Roman" w:hAnsi="Times New Roman" w:cs="Times New Roman"/>
          <w:sz w:val="22"/>
          <w:szCs w:val="22"/>
        </w:rPr>
        <w:t xml:space="preserve">ałącznik nr 3 – wykaz </w:t>
      </w:r>
      <w:r w:rsidR="002911EC" w:rsidRPr="00DB72E7">
        <w:rPr>
          <w:rFonts w:ascii="Times New Roman" w:hAnsi="Times New Roman" w:cs="Times New Roman"/>
          <w:sz w:val="22"/>
          <w:szCs w:val="22"/>
        </w:rPr>
        <w:t>dostaw</w:t>
      </w:r>
    </w:p>
    <w:p w14:paraId="56F82B7B" w14:textId="504CE1EF" w:rsidR="00A773CD" w:rsidRPr="00DB72E7" w:rsidRDefault="00A773CD" w:rsidP="008624E5">
      <w:pPr>
        <w:pStyle w:val="Akapitzlist"/>
        <w:spacing w:before="240" w:after="24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sectPr w:rsidR="00A773CD" w:rsidRPr="00DB72E7" w:rsidSect="00195F73">
      <w:headerReference w:type="default" r:id="rId12"/>
      <w:footerReference w:type="default" r:id="rId13"/>
      <w:pgSz w:w="11906" w:h="16838"/>
      <w:pgMar w:top="1702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85A56" w14:textId="77777777" w:rsidR="00A944A8" w:rsidRDefault="00A944A8">
      <w:r>
        <w:separator/>
      </w:r>
    </w:p>
  </w:endnote>
  <w:endnote w:type="continuationSeparator" w:id="0">
    <w:p w14:paraId="75F01242" w14:textId="77777777" w:rsidR="00A944A8" w:rsidRDefault="00A944A8">
      <w:r>
        <w:continuationSeparator/>
      </w:r>
    </w:p>
  </w:endnote>
  <w:endnote w:type="continuationNotice" w:id="1">
    <w:p w14:paraId="1E12E04E" w14:textId="77777777" w:rsidR="00A944A8" w:rsidRDefault="00A944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20B0604020202020204"/>
    <w:charset w:val="00"/>
    <w:family w:val="roman"/>
    <w:notTrueType/>
    <w:pitch w:val="default"/>
  </w:font>
  <w:font w:name="DejaVu Sans">
    <w:altName w:val="Verdana"/>
    <w:panose1 w:val="020B0604020202020204"/>
    <w:charset w:val="EE"/>
    <w:family w:val="swiss"/>
    <w:pitch w:val="variable"/>
    <w:sig w:usb0="E7002EFF" w:usb1="D200FDFF" w:usb2="0A24602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2FC88" w14:textId="77777777" w:rsidR="00A944A8" w:rsidRDefault="00A944A8">
      <w:r>
        <w:separator/>
      </w:r>
    </w:p>
  </w:footnote>
  <w:footnote w:type="continuationSeparator" w:id="0">
    <w:p w14:paraId="233EFF89" w14:textId="77777777" w:rsidR="00A944A8" w:rsidRDefault="00A944A8">
      <w:r>
        <w:continuationSeparator/>
      </w:r>
    </w:p>
  </w:footnote>
  <w:footnote w:type="continuationNotice" w:id="1">
    <w:p w14:paraId="59EDCBA5" w14:textId="77777777" w:rsidR="00A944A8" w:rsidRDefault="00A944A8"/>
  </w:footnote>
  <w:footnote w:id="2">
    <w:p w14:paraId="4E520C88" w14:textId="77777777" w:rsidR="00B00653" w:rsidRPr="00584704" w:rsidRDefault="00B00653" w:rsidP="00842D63">
      <w:pPr>
        <w:pStyle w:val="Tekstprzypisudolnego"/>
        <w:rPr>
          <w:rFonts w:ascii="Arial" w:hAnsi="Arial" w:cs="Arial"/>
          <w:sz w:val="18"/>
        </w:rPr>
      </w:pPr>
      <w:r w:rsidRPr="00584704">
        <w:rPr>
          <w:rStyle w:val="Odwoanieprzypisudolnego"/>
          <w:rFonts w:ascii="Arial" w:hAnsi="Arial" w:cs="Arial"/>
          <w:sz w:val="18"/>
        </w:rPr>
        <w:footnoteRef/>
      </w:r>
      <w:r w:rsidRPr="00584704">
        <w:rPr>
          <w:rFonts w:ascii="Arial" w:hAnsi="Arial" w:cs="Arial"/>
          <w:sz w:val="18"/>
        </w:rPr>
        <w:t xml:space="preserve"> </w:t>
      </w:r>
      <w:r w:rsidRPr="0010161F">
        <w:rPr>
          <w:rFonts w:ascii="Times New Roman" w:hAnsi="Times New Roman" w:cs="Times New Roman"/>
          <w:sz w:val="18"/>
          <w:szCs w:val="22"/>
        </w:rPr>
        <w:t xml:space="preserve">Zakres danych i informacji musi także potwierdzać </w:t>
      </w:r>
      <w:r w:rsidRPr="0010161F">
        <w:rPr>
          <w:rFonts w:ascii="Times New Roman" w:hAnsi="Times New Roman" w:cs="Times New Roman"/>
          <w:b/>
          <w:sz w:val="18"/>
          <w:szCs w:val="22"/>
        </w:rPr>
        <w:t>równoważność</w:t>
      </w:r>
      <w:r w:rsidRPr="0010161F">
        <w:rPr>
          <w:rFonts w:ascii="Times New Roman" w:hAnsi="Times New Roman" w:cs="Times New Roman"/>
          <w:sz w:val="18"/>
          <w:szCs w:val="22"/>
        </w:rPr>
        <w:t xml:space="preserve"> oferowanych urządzeń, w stosunku do wymagań wskazanych przez Zamawiającego</w:t>
      </w:r>
      <w:r w:rsidRPr="00584704">
        <w:rPr>
          <w:rFonts w:ascii="Arial" w:hAnsi="Arial" w:cs="Arial"/>
          <w:sz w:val="18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789A" w14:textId="639D3B9B" w:rsidR="008E6481" w:rsidRPr="00581ED8" w:rsidRDefault="00195F73" w:rsidP="00581ED8">
    <w:pPr>
      <w:pStyle w:val="Nagwek"/>
    </w:pPr>
    <w:r w:rsidRPr="00160CB3">
      <w:rPr>
        <w:noProof/>
      </w:rPr>
      <w:drawing>
        <wp:inline distT="0" distB="0" distL="0" distR="0" wp14:anchorId="2204A35E" wp14:editId="26FC22DE">
          <wp:extent cx="5760720" cy="465826"/>
          <wp:effectExtent l="0" t="0" r="0" b="0"/>
          <wp:docPr id="848006062" name="Obraz 848006062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F2B"/>
    <w:multiLevelType w:val="hybridMultilevel"/>
    <w:tmpl w:val="8012B1FA"/>
    <w:lvl w:ilvl="0" w:tplc="C3949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016D4"/>
    <w:multiLevelType w:val="hybridMultilevel"/>
    <w:tmpl w:val="E0B6470C"/>
    <w:lvl w:ilvl="0" w:tplc="2BD4E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29FE"/>
    <w:multiLevelType w:val="hybridMultilevel"/>
    <w:tmpl w:val="5C84C8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C627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02E72"/>
    <w:multiLevelType w:val="hybridMultilevel"/>
    <w:tmpl w:val="33906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A4191"/>
    <w:multiLevelType w:val="hybridMultilevel"/>
    <w:tmpl w:val="F62697A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36FF1BC2"/>
    <w:multiLevelType w:val="hybridMultilevel"/>
    <w:tmpl w:val="33906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6348A"/>
    <w:multiLevelType w:val="hybridMultilevel"/>
    <w:tmpl w:val="C3785288"/>
    <w:lvl w:ilvl="0" w:tplc="D53292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CBA"/>
    <w:multiLevelType w:val="hybridMultilevel"/>
    <w:tmpl w:val="33906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E7076"/>
    <w:multiLevelType w:val="multilevel"/>
    <w:tmpl w:val="2D84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77620"/>
    <w:multiLevelType w:val="hybridMultilevel"/>
    <w:tmpl w:val="FFFFFFFF"/>
    <w:lvl w:ilvl="0" w:tplc="BA84C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53431"/>
    <w:multiLevelType w:val="hybridMultilevel"/>
    <w:tmpl w:val="43CA2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354E2"/>
    <w:multiLevelType w:val="hybridMultilevel"/>
    <w:tmpl w:val="5FB07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C5AF0"/>
    <w:multiLevelType w:val="hybridMultilevel"/>
    <w:tmpl w:val="7BCE2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D79CF"/>
    <w:multiLevelType w:val="hybridMultilevel"/>
    <w:tmpl w:val="B19E7F56"/>
    <w:lvl w:ilvl="0" w:tplc="AA680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563640">
    <w:abstractNumId w:val="14"/>
  </w:num>
  <w:num w:numId="2" w16cid:durableId="445276081">
    <w:abstractNumId w:val="5"/>
  </w:num>
  <w:num w:numId="3" w16cid:durableId="794955488">
    <w:abstractNumId w:val="7"/>
  </w:num>
  <w:num w:numId="4" w16cid:durableId="1798140083">
    <w:abstractNumId w:val="8"/>
  </w:num>
  <w:num w:numId="5" w16cid:durableId="1586916505">
    <w:abstractNumId w:val="12"/>
  </w:num>
  <w:num w:numId="6" w16cid:durableId="32925217">
    <w:abstractNumId w:val="13"/>
  </w:num>
  <w:num w:numId="7" w16cid:durableId="17241256">
    <w:abstractNumId w:val="11"/>
  </w:num>
  <w:num w:numId="8" w16cid:durableId="1162046314">
    <w:abstractNumId w:val="1"/>
  </w:num>
  <w:num w:numId="9" w16cid:durableId="502207663">
    <w:abstractNumId w:val="2"/>
  </w:num>
  <w:num w:numId="10" w16cid:durableId="235018633">
    <w:abstractNumId w:val="4"/>
  </w:num>
  <w:num w:numId="11" w16cid:durableId="232282626">
    <w:abstractNumId w:val="6"/>
  </w:num>
  <w:num w:numId="12" w16cid:durableId="1546143533">
    <w:abstractNumId w:val="0"/>
  </w:num>
  <w:num w:numId="13" w16cid:durableId="746658590">
    <w:abstractNumId w:val="9"/>
  </w:num>
  <w:num w:numId="14" w16cid:durableId="712772861">
    <w:abstractNumId w:val="10"/>
  </w:num>
  <w:num w:numId="15" w16cid:durableId="543102141">
    <w:abstractNumId w:val="3"/>
  </w:num>
  <w:num w:numId="16" w16cid:durableId="493688909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233B"/>
    <w:rsid w:val="000121E5"/>
    <w:rsid w:val="00014DE4"/>
    <w:rsid w:val="00016EA0"/>
    <w:rsid w:val="0002280F"/>
    <w:rsid w:val="000229A8"/>
    <w:rsid w:val="00030490"/>
    <w:rsid w:val="00043008"/>
    <w:rsid w:val="00060AC4"/>
    <w:rsid w:val="00065397"/>
    <w:rsid w:val="00072650"/>
    <w:rsid w:val="00073DEA"/>
    <w:rsid w:val="00076CA8"/>
    <w:rsid w:val="00077269"/>
    <w:rsid w:val="00081546"/>
    <w:rsid w:val="00081D9A"/>
    <w:rsid w:val="00082F7B"/>
    <w:rsid w:val="00085098"/>
    <w:rsid w:val="00091E8A"/>
    <w:rsid w:val="0009410B"/>
    <w:rsid w:val="00094347"/>
    <w:rsid w:val="000A32BC"/>
    <w:rsid w:val="000A4B53"/>
    <w:rsid w:val="000A615B"/>
    <w:rsid w:val="000B4555"/>
    <w:rsid w:val="000B4EFC"/>
    <w:rsid w:val="000B6566"/>
    <w:rsid w:val="000B6B3A"/>
    <w:rsid w:val="000C020F"/>
    <w:rsid w:val="000C2403"/>
    <w:rsid w:val="000C3BF2"/>
    <w:rsid w:val="000C3E23"/>
    <w:rsid w:val="000D05D0"/>
    <w:rsid w:val="000D13CB"/>
    <w:rsid w:val="000D52AB"/>
    <w:rsid w:val="000D6CB9"/>
    <w:rsid w:val="000E44D6"/>
    <w:rsid w:val="000E6920"/>
    <w:rsid w:val="000F2AB2"/>
    <w:rsid w:val="000F3EC3"/>
    <w:rsid w:val="000F51B2"/>
    <w:rsid w:val="00100887"/>
    <w:rsid w:val="0010161F"/>
    <w:rsid w:val="001019B2"/>
    <w:rsid w:val="00106C8A"/>
    <w:rsid w:val="001110FD"/>
    <w:rsid w:val="00112E2B"/>
    <w:rsid w:val="00126371"/>
    <w:rsid w:val="00130A23"/>
    <w:rsid w:val="0013734F"/>
    <w:rsid w:val="0014382C"/>
    <w:rsid w:val="00147D8E"/>
    <w:rsid w:val="00147E68"/>
    <w:rsid w:val="00162243"/>
    <w:rsid w:val="00163ECA"/>
    <w:rsid w:val="00173903"/>
    <w:rsid w:val="001754A4"/>
    <w:rsid w:val="001776BA"/>
    <w:rsid w:val="00187893"/>
    <w:rsid w:val="001909B6"/>
    <w:rsid w:val="00193245"/>
    <w:rsid w:val="00195F73"/>
    <w:rsid w:val="001A6FAC"/>
    <w:rsid w:val="001B32EA"/>
    <w:rsid w:val="001C09A0"/>
    <w:rsid w:val="001C09B9"/>
    <w:rsid w:val="001C3B55"/>
    <w:rsid w:val="001C67AD"/>
    <w:rsid w:val="001D52CC"/>
    <w:rsid w:val="001E001D"/>
    <w:rsid w:val="001E6DCC"/>
    <w:rsid w:val="001F0226"/>
    <w:rsid w:val="001F11DB"/>
    <w:rsid w:val="001F1D72"/>
    <w:rsid w:val="001F45E0"/>
    <w:rsid w:val="001F7C8F"/>
    <w:rsid w:val="001F7EBE"/>
    <w:rsid w:val="00200044"/>
    <w:rsid w:val="002046CB"/>
    <w:rsid w:val="00205B74"/>
    <w:rsid w:val="00210931"/>
    <w:rsid w:val="00217DBC"/>
    <w:rsid w:val="00220DB5"/>
    <w:rsid w:val="0022655D"/>
    <w:rsid w:val="00230800"/>
    <w:rsid w:val="00230F4C"/>
    <w:rsid w:val="00232633"/>
    <w:rsid w:val="0023466A"/>
    <w:rsid w:val="00236504"/>
    <w:rsid w:val="00237383"/>
    <w:rsid w:val="002373E1"/>
    <w:rsid w:val="00237FFC"/>
    <w:rsid w:val="002401B0"/>
    <w:rsid w:val="002411EE"/>
    <w:rsid w:val="002438C8"/>
    <w:rsid w:val="00246592"/>
    <w:rsid w:val="0025095C"/>
    <w:rsid w:val="002520DC"/>
    <w:rsid w:val="00253159"/>
    <w:rsid w:val="002547DA"/>
    <w:rsid w:val="00254F0A"/>
    <w:rsid w:val="0025634C"/>
    <w:rsid w:val="00261033"/>
    <w:rsid w:val="00262058"/>
    <w:rsid w:val="0026763F"/>
    <w:rsid w:val="00267DE2"/>
    <w:rsid w:val="0027629B"/>
    <w:rsid w:val="002911EC"/>
    <w:rsid w:val="00297242"/>
    <w:rsid w:val="002A6438"/>
    <w:rsid w:val="002A65F7"/>
    <w:rsid w:val="002B2964"/>
    <w:rsid w:val="002B2D49"/>
    <w:rsid w:val="002C2885"/>
    <w:rsid w:val="002C6636"/>
    <w:rsid w:val="002D5CA1"/>
    <w:rsid w:val="002D6D90"/>
    <w:rsid w:val="002E7889"/>
    <w:rsid w:val="002F2B72"/>
    <w:rsid w:val="002F6ABB"/>
    <w:rsid w:val="00302949"/>
    <w:rsid w:val="00303A5D"/>
    <w:rsid w:val="003051FF"/>
    <w:rsid w:val="0030672F"/>
    <w:rsid w:val="00316A96"/>
    <w:rsid w:val="003201CC"/>
    <w:rsid w:val="003238D1"/>
    <w:rsid w:val="00330A17"/>
    <w:rsid w:val="003327B3"/>
    <w:rsid w:val="0034623D"/>
    <w:rsid w:val="00352EB5"/>
    <w:rsid w:val="00356C08"/>
    <w:rsid w:val="00360DAF"/>
    <w:rsid w:val="00364DE6"/>
    <w:rsid w:val="00381461"/>
    <w:rsid w:val="00381904"/>
    <w:rsid w:val="00383137"/>
    <w:rsid w:val="00386EB2"/>
    <w:rsid w:val="00387814"/>
    <w:rsid w:val="00396CB7"/>
    <w:rsid w:val="003A53AF"/>
    <w:rsid w:val="003A6D91"/>
    <w:rsid w:val="003B5E52"/>
    <w:rsid w:val="003B7C6B"/>
    <w:rsid w:val="003C12B7"/>
    <w:rsid w:val="003C385B"/>
    <w:rsid w:val="003D237D"/>
    <w:rsid w:val="003D5AB1"/>
    <w:rsid w:val="003D7A1B"/>
    <w:rsid w:val="003E6090"/>
    <w:rsid w:val="003F014B"/>
    <w:rsid w:val="003F547E"/>
    <w:rsid w:val="003F5483"/>
    <w:rsid w:val="003F5A14"/>
    <w:rsid w:val="0040201F"/>
    <w:rsid w:val="00404564"/>
    <w:rsid w:val="00405CD9"/>
    <w:rsid w:val="00413041"/>
    <w:rsid w:val="00413AEA"/>
    <w:rsid w:val="004148A5"/>
    <w:rsid w:val="00414AFC"/>
    <w:rsid w:val="004150C4"/>
    <w:rsid w:val="00415D8A"/>
    <w:rsid w:val="00422086"/>
    <w:rsid w:val="00431BCF"/>
    <w:rsid w:val="00435193"/>
    <w:rsid w:val="00435D09"/>
    <w:rsid w:val="00444CB4"/>
    <w:rsid w:val="00456F55"/>
    <w:rsid w:val="00457BA2"/>
    <w:rsid w:val="004611F0"/>
    <w:rsid w:val="0047023F"/>
    <w:rsid w:val="00476FF7"/>
    <w:rsid w:val="004771D3"/>
    <w:rsid w:val="00485F88"/>
    <w:rsid w:val="00497F59"/>
    <w:rsid w:val="004A175F"/>
    <w:rsid w:val="004A35E2"/>
    <w:rsid w:val="004A4174"/>
    <w:rsid w:val="004A693E"/>
    <w:rsid w:val="004A7196"/>
    <w:rsid w:val="004B2E5C"/>
    <w:rsid w:val="004B5F78"/>
    <w:rsid w:val="004C236C"/>
    <w:rsid w:val="004D172B"/>
    <w:rsid w:val="004E3EAA"/>
    <w:rsid w:val="004E5791"/>
    <w:rsid w:val="004E5ACB"/>
    <w:rsid w:val="004F3F4E"/>
    <w:rsid w:val="004F7071"/>
    <w:rsid w:val="005002A6"/>
    <w:rsid w:val="00503C8F"/>
    <w:rsid w:val="0050682C"/>
    <w:rsid w:val="00512FD9"/>
    <w:rsid w:val="00515C10"/>
    <w:rsid w:val="00521009"/>
    <w:rsid w:val="00536283"/>
    <w:rsid w:val="005367B5"/>
    <w:rsid w:val="005414BF"/>
    <w:rsid w:val="00542F26"/>
    <w:rsid w:val="0055445F"/>
    <w:rsid w:val="00556E55"/>
    <w:rsid w:val="0056019F"/>
    <w:rsid w:val="00561A48"/>
    <w:rsid w:val="00561D9C"/>
    <w:rsid w:val="00562DD0"/>
    <w:rsid w:val="00567B43"/>
    <w:rsid w:val="00571948"/>
    <w:rsid w:val="00577E3E"/>
    <w:rsid w:val="0058106E"/>
    <w:rsid w:val="00581ED8"/>
    <w:rsid w:val="00590DDE"/>
    <w:rsid w:val="00592883"/>
    <w:rsid w:val="00595513"/>
    <w:rsid w:val="0059698D"/>
    <w:rsid w:val="005A4C6F"/>
    <w:rsid w:val="005A6141"/>
    <w:rsid w:val="005B41A5"/>
    <w:rsid w:val="005B5980"/>
    <w:rsid w:val="005C32CA"/>
    <w:rsid w:val="005D1864"/>
    <w:rsid w:val="005D248E"/>
    <w:rsid w:val="005E2FD3"/>
    <w:rsid w:val="005E50AB"/>
    <w:rsid w:val="005F2002"/>
    <w:rsid w:val="005F3170"/>
    <w:rsid w:val="005F33FE"/>
    <w:rsid w:val="00600646"/>
    <w:rsid w:val="00611C8D"/>
    <w:rsid w:val="006237BA"/>
    <w:rsid w:val="006240AF"/>
    <w:rsid w:val="0062540E"/>
    <w:rsid w:val="0063046E"/>
    <w:rsid w:val="006343A3"/>
    <w:rsid w:val="006374A5"/>
    <w:rsid w:val="00643FAC"/>
    <w:rsid w:val="00644C04"/>
    <w:rsid w:val="00645301"/>
    <w:rsid w:val="0065350D"/>
    <w:rsid w:val="006539B6"/>
    <w:rsid w:val="0066326D"/>
    <w:rsid w:val="0068121D"/>
    <w:rsid w:val="00683B9D"/>
    <w:rsid w:val="00684821"/>
    <w:rsid w:val="00686301"/>
    <w:rsid w:val="0068638C"/>
    <w:rsid w:val="00695251"/>
    <w:rsid w:val="0069732E"/>
    <w:rsid w:val="006A0907"/>
    <w:rsid w:val="006C52D9"/>
    <w:rsid w:val="006C7D0E"/>
    <w:rsid w:val="006D27FB"/>
    <w:rsid w:val="006D4BE1"/>
    <w:rsid w:val="006D6BCA"/>
    <w:rsid w:val="006E0BED"/>
    <w:rsid w:val="006E0D59"/>
    <w:rsid w:val="006E468F"/>
    <w:rsid w:val="006E5029"/>
    <w:rsid w:val="00702280"/>
    <w:rsid w:val="00703B13"/>
    <w:rsid w:val="00722F76"/>
    <w:rsid w:val="007267AD"/>
    <w:rsid w:val="00727009"/>
    <w:rsid w:val="0074107B"/>
    <w:rsid w:val="00741B13"/>
    <w:rsid w:val="00746733"/>
    <w:rsid w:val="007503A3"/>
    <w:rsid w:val="007548FC"/>
    <w:rsid w:val="00756F6F"/>
    <w:rsid w:val="007642F8"/>
    <w:rsid w:val="00767271"/>
    <w:rsid w:val="007675B1"/>
    <w:rsid w:val="00767DCD"/>
    <w:rsid w:val="007761AD"/>
    <w:rsid w:val="0077689E"/>
    <w:rsid w:val="00782F22"/>
    <w:rsid w:val="0078358D"/>
    <w:rsid w:val="00787007"/>
    <w:rsid w:val="00791363"/>
    <w:rsid w:val="00794A73"/>
    <w:rsid w:val="007960C0"/>
    <w:rsid w:val="007A01CB"/>
    <w:rsid w:val="007A21EA"/>
    <w:rsid w:val="007A5967"/>
    <w:rsid w:val="007A6CC8"/>
    <w:rsid w:val="007B0831"/>
    <w:rsid w:val="007B0FD5"/>
    <w:rsid w:val="007B4EC6"/>
    <w:rsid w:val="007B60E8"/>
    <w:rsid w:val="007B6714"/>
    <w:rsid w:val="007B6830"/>
    <w:rsid w:val="007C0707"/>
    <w:rsid w:val="007C22CE"/>
    <w:rsid w:val="007C5ED7"/>
    <w:rsid w:val="007C646D"/>
    <w:rsid w:val="007D1912"/>
    <w:rsid w:val="007D6B94"/>
    <w:rsid w:val="007E1648"/>
    <w:rsid w:val="007E1D94"/>
    <w:rsid w:val="007E57BB"/>
    <w:rsid w:val="007E6F66"/>
    <w:rsid w:val="007F3244"/>
    <w:rsid w:val="007F6E45"/>
    <w:rsid w:val="00801161"/>
    <w:rsid w:val="00804B6D"/>
    <w:rsid w:val="00806D06"/>
    <w:rsid w:val="0081167F"/>
    <w:rsid w:val="008172B4"/>
    <w:rsid w:val="0081779E"/>
    <w:rsid w:val="00827A3C"/>
    <w:rsid w:val="008313E7"/>
    <w:rsid w:val="008327C5"/>
    <w:rsid w:val="00835402"/>
    <w:rsid w:val="00841D66"/>
    <w:rsid w:val="00842129"/>
    <w:rsid w:val="00842D63"/>
    <w:rsid w:val="00844224"/>
    <w:rsid w:val="00845BE3"/>
    <w:rsid w:val="008543EA"/>
    <w:rsid w:val="00856C65"/>
    <w:rsid w:val="0085713E"/>
    <w:rsid w:val="00861338"/>
    <w:rsid w:val="008624E5"/>
    <w:rsid w:val="00862FC9"/>
    <w:rsid w:val="0086630C"/>
    <w:rsid w:val="008670EB"/>
    <w:rsid w:val="008753ED"/>
    <w:rsid w:val="00875F55"/>
    <w:rsid w:val="00877BA3"/>
    <w:rsid w:val="008807ED"/>
    <w:rsid w:val="008845A3"/>
    <w:rsid w:val="0089157F"/>
    <w:rsid w:val="00895CB7"/>
    <w:rsid w:val="00896893"/>
    <w:rsid w:val="008A25F7"/>
    <w:rsid w:val="008B63B6"/>
    <w:rsid w:val="008B6574"/>
    <w:rsid w:val="008B6784"/>
    <w:rsid w:val="008C119E"/>
    <w:rsid w:val="008C1E2D"/>
    <w:rsid w:val="008D0682"/>
    <w:rsid w:val="008D22BF"/>
    <w:rsid w:val="008D3B1D"/>
    <w:rsid w:val="008D70CF"/>
    <w:rsid w:val="008E0E00"/>
    <w:rsid w:val="008E3450"/>
    <w:rsid w:val="008E37A0"/>
    <w:rsid w:val="008E6481"/>
    <w:rsid w:val="008E79C3"/>
    <w:rsid w:val="008F5553"/>
    <w:rsid w:val="00916A95"/>
    <w:rsid w:val="00923062"/>
    <w:rsid w:val="00924CFE"/>
    <w:rsid w:val="00931406"/>
    <w:rsid w:val="00935355"/>
    <w:rsid w:val="00935905"/>
    <w:rsid w:val="009425B3"/>
    <w:rsid w:val="00942C37"/>
    <w:rsid w:val="00944567"/>
    <w:rsid w:val="00946941"/>
    <w:rsid w:val="00947DE5"/>
    <w:rsid w:val="00952F59"/>
    <w:rsid w:val="0096596E"/>
    <w:rsid w:val="009723FC"/>
    <w:rsid w:val="00976AE5"/>
    <w:rsid w:val="0099089E"/>
    <w:rsid w:val="0099434B"/>
    <w:rsid w:val="0099508E"/>
    <w:rsid w:val="00996B1D"/>
    <w:rsid w:val="00997851"/>
    <w:rsid w:val="009A472E"/>
    <w:rsid w:val="009A5C16"/>
    <w:rsid w:val="009B297D"/>
    <w:rsid w:val="009B61D5"/>
    <w:rsid w:val="009B67BF"/>
    <w:rsid w:val="009C21B9"/>
    <w:rsid w:val="009C39AD"/>
    <w:rsid w:val="009C5D45"/>
    <w:rsid w:val="009C7256"/>
    <w:rsid w:val="009D23F5"/>
    <w:rsid w:val="009D54DA"/>
    <w:rsid w:val="009D5AA8"/>
    <w:rsid w:val="009E2301"/>
    <w:rsid w:val="009E31AC"/>
    <w:rsid w:val="009F1A61"/>
    <w:rsid w:val="009F3431"/>
    <w:rsid w:val="009F3EC1"/>
    <w:rsid w:val="009F5414"/>
    <w:rsid w:val="00A01612"/>
    <w:rsid w:val="00A11675"/>
    <w:rsid w:val="00A134B7"/>
    <w:rsid w:val="00A159D1"/>
    <w:rsid w:val="00A177F2"/>
    <w:rsid w:val="00A23265"/>
    <w:rsid w:val="00A24197"/>
    <w:rsid w:val="00A32DE4"/>
    <w:rsid w:val="00A33810"/>
    <w:rsid w:val="00A35C18"/>
    <w:rsid w:val="00A37BA0"/>
    <w:rsid w:val="00A632CF"/>
    <w:rsid w:val="00A657BC"/>
    <w:rsid w:val="00A66FAE"/>
    <w:rsid w:val="00A71878"/>
    <w:rsid w:val="00A73D0F"/>
    <w:rsid w:val="00A773CD"/>
    <w:rsid w:val="00A93F25"/>
    <w:rsid w:val="00A944A8"/>
    <w:rsid w:val="00AA07EB"/>
    <w:rsid w:val="00AA0A22"/>
    <w:rsid w:val="00AA259C"/>
    <w:rsid w:val="00AB57D9"/>
    <w:rsid w:val="00AC0FD1"/>
    <w:rsid w:val="00AC3535"/>
    <w:rsid w:val="00AD193E"/>
    <w:rsid w:val="00AD3DB2"/>
    <w:rsid w:val="00AE0B09"/>
    <w:rsid w:val="00AE37DF"/>
    <w:rsid w:val="00AE5362"/>
    <w:rsid w:val="00AF30FF"/>
    <w:rsid w:val="00B00653"/>
    <w:rsid w:val="00B14185"/>
    <w:rsid w:val="00B14E4D"/>
    <w:rsid w:val="00B15F56"/>
    <w:rsid w:val="00B160C0"/>
    <w:rsid w:val="00B177B1"/>
    <w:rsid w:val="00B20FE2"/>
    <w:rsid w:val="00B26972"/>
    <w:rsid w:val="00B2759B"/>
    <w:rsid w:val="00B31113"/>
    <w:rsid w:val="00B316ED"/>
    <w:rsid w:val="00B318BE"/>
    <w:rsid w:val="00B36BB5"/>
    <w:rsid w:val="00B42485"/>
    <w:rsid w:val="00B43C6B"/>
    <w:rsid w:val="00B441EF"/>
    <w:rsid w:val="00B508D2"/>
    <w:rsid w:val="00B55E31"/>
    <w:rsid w:val="00B61E31"/>
    <w:rsid w:val="00B64C81"/>
    <w:rsid w:val="00B65C89"/>
    <w:rsid w:val="00B66070"/>
    <w:rsid w:val="00B745FE"/>
    <w:rsid w:val="00B77331"/>
    <w:rsid w:val="00B8044E"/>
    <w:rsid w:val="00B81087"/>
    <w:rsid w:val="00B900E6"/>
    <w:rsid w:val="00B96130"/>
    <w:rsid w:val="00BA4079"/>
    <w:rsid w:val="00BA607F"/>
    <w:rsid w:val="00BB46EC"/>
    <w:rsid w:val="00BB4747"/>
    <w:rsid w:val="00BB5DB0"/>
    <w:rsid w:val="00BC40E7"/>
    <w:rsid w:val="00BC7DC4"/>
    <w:rsid w:val="00BD1438"/>
    <w:rsid w:val="00BD1498"/>
    <w:rsid w:val="00BD17FE"/>
    <w:rsid w:val="00BD42CC"/>
    <w:rsid w:val="00BD49D7"/>
    <w:rsid w:val="00BD58F9"/>
    <w:rsid w:val="00BE2254"/>
    <w:rsid w:val="00BE3EE4"/>
    <w:rsid w:val="00BE4D90"/>
    <w:rsid w:val="00BE55B8"/>
    <w:rsid w:val="00BF0A07"/>
    <w:rsid w:val="00BF6F34"/>
    <w:rsid w:val="00C016B8"/>
    <w:rsid w:val="00C11CEC"/>
    <w:rsid w:val="00C23C99"/>
    <w:rsid w:val="00C23E7D"/>
    <w:rsid w:val="00C37EA2"/>
    <w:rsid w:val="00C40587"/>
    <w:rsid w:val="00C4252F"/>
    <w:rsid w:val="00C44BBD"/>
    <w:rsid w:val="00C528DB"/>
    <w:rsid w:val="00C52C7E"/>
    <w:rsid w:val="00C572F7"/>
    <w:rsid w:val="00C6093B"/>
    <w:rsid w:val="00C6195B"/>
    <w:rsid w:val="00C67356"/>
    <w:rsid w:val="00C74B98"/>
    <w:rsid w:val="00C812C9"/>
    <w:rsid w:val="00C859C2"/>
    <w:rsid w:val="00C904FB"/>
    <w:rsid w:val="00C94CC6"/>
    <w:rsid w:val="00CA29B8"/>
    <w:rsid w:val="00CA2DFF"/>
    <w:rsid w:val="00CA53C0"/>
    <w:rsid w:val="00CA5792"/>
    <w:rsid w:val="00CB0143"/>
    <w:rsid w:val="00CB5D6E"/>
    <w:rsid w:val="00CB6ED9"/>
    <w:rsid w:val="00CC18C9"/>
    <w:rsid w:val="00CD074F"/>
    <w:rsid w:val="00CD4FFB"/>
    <w:rsid w:val="00CD660D"/>
    <w:rsid w:val="00CE147A"/>
    <w:rsid w:val="00CE1D4A"/>
    <w:rsid w:val="00CE58DC"/>
    <w:rsid w:val="00CE782C"/>
    <w:rsid w:val="00CF49B5"/>
    <w:rsid w:val="00CF6513"/>
    <w:rsid w:val="00CF7F52"/>
    <w:rsid w:val="00D016B0"/>
    <w:rsid w:val="00D01D50"/>
    <w:rsid w:val="00D0217D"/>
    <w:rsid w:val="00D12416"/>
    <w:rsid w:val="00D14C0A"/>
    <w:rsid w:val="00D22D30"/>
    <w:rsid w:val="00D27011"/>
    <w:rsid w:val="00D355A1"/>
    <w:rsid w:val="00D3655B"/>
    <w:rsid w:val="00D37831"/>
    <w:rsid w:val="00D3786E"/>
    <w:rsid w:val="00D41150"/>
    <w:rsid w:val="00D50E58"/>
    <w:rsid w:val="00D510EB"/>
    <w:rsid w:val="00D538A4"/>
    <w:rsid w:val="00D559D1"/>
    <w:rsid w:val="00D60283"/>
    <w:rsid w:val="00D66E62"/>
    <w:rsid w:val="00D70796"/>
    <w:rsid w:val="00D90962"/>
    <w:rsid w:val="00D96FC7"/>
    <w:rsid w:val="00DA22BE"/>
    <w:rsid w:val="00DA32F9"/>
    <w:rsid w:val="00DB5DC3"/>
    <w:rsid w:val="00DB72E7"/>
    <w:rsid w:val="00DC22E4"/>
    <w:rsid w:val="00DC38F8"/>
    <w:rsid w:val="00DC53BF"/>
    <w:rsid w:val="00DC7F2F"/>
    <w:rsid w:val="00DD18ED"/>
    <w:rsid w:val="00DD1B9B"/>
    <w:rsid w:val="00DD687A"/>
    <w:rsid w:val="00DD6C32"/>
    <w:rsid w:val="00DE3637"/>
    <w:rsid w:val="00DE5DF7"/>
    <w:rsid w:val="00DF062C"/>
    <w:rsid w:val="00DF0DC0"/>
    <w:rsid w:val="00DF2596"/>
    <w:rsid w:val="00E007C6"/>
    <w:rsid w:val="00E03AC5"/>
    <w:rsid w:val="00E067AF"/>
    <w:rsid w:val="00E127BB"/>
    <w:rsid w:val="00E15CF8"/>
    <w:rsid w:val="00E16490"/>
    <w:rsid w:val="00E24794"/>
    <w:rsid w:val="00E26714"/>
    <w:rsid w:val="00E32D06"/>
    <w:rsid w:val="00E35AF1"/>
    <w:rsid w:val="00E438B8"/>
    <w:rsid w:val="00E45FB3"/>
    <w:rsid w:val="00E465B4"/>
    <w:rsid w:val="00E51854"/>
    <w:rsid w:val="00E53EF6"/>
    <w:rsid w:val="00E63734"/>
    <w:rsid w:val="00E64162"/>
    <w:rsid w:val="00E66B9E"/>
    <w:rsid w:val="00E67B23"/>
    <w:rsid w:val="00E72EB3"/>
    <w:rsid w:val="00E737A4"/>
    <w:rsid w:val="00E77D4B"/>
    <w:rsid w:val="00E843FE"/>
    <w:rsid w:val="00E87454"/>
    <w:rsid w:val="00E90FB4"/>
    <w:rsid w:val="00EA2B69"/>
    <w:rsid w:val="00EA421B"/>
    <w:rsid w:val="00EB0A51"/>
    <w:rsid w:val="00EB4398"/>
    <w:rsid w:val="00ED3D64"/>
    <w:rsid w:val="00EE499B"/>
    <w:rsid w:val="00EE7A47"/>
    <w:rsid w:val="00EF2164"/>
    <w:rsid w:val="00EF218E"/>
    <w:rsid w:val="00F03C4E"/>
    <w:rsid w:val="00F230A6"/>
    <w:rsid w:val="00F2436A"/>
    <w:rsid w:val="00F43805"/>
    <w:rsid w:val="00F45821"/>
    <w:rsid w:val="00F507AE"/>
    <w:rsid w:val="00F51186"/>
    <w:rsid w:val="00F52370"/>
    <w:rsid w:val="00F5290A"/>
    <w:rsid w:val="00F55C01"/>
    <w:rsid w:val="00F60038"/>
    <w:rsid w:val="00F6126E"/>
    <w:rsid w:val="00F61921"/>
    <w:rsid w:val="00F65D47"/>
    <w:rsid w:val="00F7249E"/>
    <w:rsid w:val="00F906F3"/>
    <w:rsid w:val="00FA510E"/>
    <w:rsid w:val="00FA724A"/>
    <w:rsid w:val="00FB54F3"/>
    <w:rsid w:val="00FC1423"/>
    <w:rsid w:val="00FC2186"/>
    <w:rsid w:val="00FC5297"/>
    <w:rsid w:val="00FD1CDD"/>
    <w:rsid w:val="00FD27E3"/>
    <w:rsid w:val="00FD36E0"/>
    <w:rsid w:val="00FE4846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C6195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</w:tblPr>
  </w:style>
  <w:style w:type="table" w:customStyle="1" w:styleId="a0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E55B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10E"/>
    <w:rPr>
      <w:color w:val="605E5C"/>
      <w:shd w:val="clear" w:color="auto" w:fill="E1DFDD"/>
    </w:rPr>
  </w:style>
  <w:style w:type="table" w:customStyle="1" w:styleId="TableNormal1">
    <w:name w:val="Table Normal1"/>
    <w:rsid w:val="00405C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05CD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Domylnaczcionkaakapitu"/>
    <w:rsid w:val="00DE363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DE3637"/>
    <w:pPr>
      <w:spacing w:before="100" w:beforeAutospacing="1" w:after="100" w:afterAutospacing="1"/>
      <w:ind w:left="720"/>
    </w:pPr>
    <w:rPr>
      <w:rFonts w:ascii="Times New Roman" w:eastAsia="Times New Roman" w:hAnsi="Times New Roman" w:cs="Times New Roman"/>
    </w:rPr>
  </w:style>
  <w:style w:type="character" w:styleId="Wzmianka">
    <w:name w:val="Mention"/>
    <w:basedOn w:val="Domylnaczcionkaakapitu"/>
    <w:uiPriority w:val="99"/>
    <w:unhideWhenUsed/>
    <w:rsid w:val="008C1E2D"/>
    <w:rPr>
      <w:color w:val="2B579A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0F3EC3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1E2E61-1C98-4AD0-8874-F625E28A3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BC595-642E-454A-8753-E99A740511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4.xml><?xml version="1.0" encoding="utf-8"?>
<ds:datastoreItem xmlns:ds="http://schemas.openxmlformats.org/officeDocument/2006/customXml" ds:itemID="{34D1BF68-4D5E-40BF-B11C-8D23B663E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35E580-254C-F54B-9091-945A8EAD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8</Pages>
  <Words>3196</Words>
  <Characters>19177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Krzysztof Szewczyk</cp:lastModifiedBy>
  <cp:revision>185</cp:revision>
  <cp:lastPrinted>2023-06-12T21:16:00Z</cp:lastPrinted>
  <dcterms:created xsi:type="dcterms:W3CDTF">2024-10-17T11:25:00Z</dcterms:created>
  <dcterms:modified xsi:type="dcterms:W3CDTF">2024-11-26T14:21:00Z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